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2018年全国职业院校建设教育杯职业技能竞赛</w:t>
      </w:r>
    </w:p>
    <w:p>
      <w:pPr>
        <w:jc w:val="center"/>
        <w:rPr>
          <w:rFonts w:hint="eastAsia" w:ascii="黑体" w:hAnsi="黑体" w:eastAsia="黑体" w:cs="黑体"/>
          <w:b/>
          <w:bCs/>
          <w:sz w:val="36"/>
          <w:szCs w:val="36"/>
          <w:lang w:val="en-US" w:eastAsia="zh-CN"/>
        </w:rPr>
      </w:pPr>
      <w:bookmarkStart w:id="0" w:name="_GoBack"/>
      <w:r>
        <w:rPr>
          <w:rFonts w:hint="eastAsia" w:ascii="黑体" w:hAnsi="黑体" w:eastAsia="黑体" w:cs="黑体"/>
          <w:b/>
          <w:bCs/>
          <w:sz w:val="36"/>
          <w:szCs w:val="36"/>
          <w:lang w:val="en-US" w:eastAsia="zh-CN"/>
        </w:rPr>
        <w:t>“建筑施工工艺与管理赛项”操作竞赛规程</w:t>
      </w:r>
    </w:p>
    <w:bookmarkEnd w:id="0"/>
    <w:p>
      <w:pPr>
        <w:adjustRightInd w:val="0"/>
        <w:snapToGrid w:val="0"/>
        <w:spacing w:before="156" w:beforeLines="50" w:line="360" w:lineRule="auto"/>
        <w:jc w:val="left"/>
        <w:outlineLvl w:val="0"/>
        <w:rPr>
          <w:rFonts w:ascii="仿宋" w:hAnsi="仿宋" w:eastAsia="仿宋" w:cs="Times New Roman"/>
          <w:b/>
          <w:bCs/>
          <w:kern w:val="0"/>
          <w:sz w:val="30"/>
          <w:szCs w:val="30"/>
        </w:rPr>
      </w:pPr>
      <w:r>
        <w:rPr>
          <w:rFonts w:hint="eastAsia" w:ascii="仿宋" w:hAnsi="仿宋" w:eastAsia="仿宋" w:cs="仿宋"/>
          <w:b/>
          <w:bCs/>
          <w:kern w:val="0"/>
          <w:sz w:val="30"/>
          <w:szCs w:val="30"/>
        </w:rPr>
        <w:t>一、赛项名称</w:t>
      </w:r>
    </w:p>
    <w:p>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赛项名称：建筑施工工艺与管理</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英语翻译：</w:t>
      </w:r>
      <w:r>
        <w:rPr>
          <w:rFonts w:ascii="仿宋" w:hAnsi="仿宋" w:eastAsia="仿宋" w:cs="仿宋"/>
          <w:kern w:val="0"/>
          <w:sz w:val="28"/>
          <w:szCs w:val="28"/>
        </w:rPr>
        <w:t>Construction Technology and Management</w:t>
      </w:r>
    </w:p>
    <w:p>
      <w:pPr>
        <w:spacing w:line="360" w:lineRule="auto"/>
        <w:ind w:firstLine="540"/>
        <w:rPr>
          <w:rFonts w:ascii="仿宋" w:hAnsi="仿宋" w:eastAsia="仿宋" w:cs="Times New Roman"/>
          <w:kern w:val="0"/>
          <w:sz w:val="28"/>
          <w:szCs w:val="28"/>
        </w:rPr>
      </w:pPr>
      <w:r>
        <w:rPr>
          <w:rFonts w:hint="eastAsia" w:ascii="仿宋" w:hAnsi="仿宋" w:eastAsia="仿宋" w:cs="仿宋"/>
          <w:kern w:val="0"/>
          <w:sz w:val="28"/>
          <w:szCs w:val="28"/>
        </w:rPr>
        <w:t>赛项组别：高职组</w:t>
      </w:r>
    </w:p>
    <w:p>
      <w:pPr>
        <w:spacing w:line="360" w:lineRule="auto"/>
        <w:ind w:firstLine="540"/>
        <w:rPr>
          <w:rFonts w:ascii="仿宋" w:hAnsi="仿宋" w:eastAsia="仿宋" w:cs="Times New Roman"/>
          <w:kern w:val="0"/>
          <w:sz w:val="28"/>
          <w:szCs w:val="28"/>
        </w:rPr>
      </w:pPr>
      <w:r>
        <w:rPr>
          <w:rFonts w:hint="eastAsia" w:ascii="仿宋" w:hAnsi="仿宋" w:eastAsia="仿宋" w:cs="仿宋"/>
          <w:kern w:val="0"/>
          <w:sz w:val="28"/>
          <w:szCs w:val="28"/>
        </w:rPr>
        <w:t>赛项归属产业：建筑业</w:t>
      </w:r>
    </w:p>
    <w:p>
      <w:pPr>
        <w:spacing w:line="360" w:lineRule="auto"/>
        <w:ind w:firstLine="540"/>
        <w:rPr>
          <w:rFonts w:hint="eastAsia" w:ascii="仿宋" w:hAnsi="仿宋" w:eastAsia="仿宋" w:cs="仿宋"/>
          <w:kern w:val="0"/>
          <w:sz w:val="28"/>
          <w:szCs w:val="28"/>
        </w:rPr>
      </w:pPr>
      <w:r>
        <w:rPr>
          <w:rFonts w:hint="eastAsia" w:ascii="仿宋" w:hAnsi="仿宋" w:eastAsia="仿宋" w:cs="仿宋"/>
          <w:kern w:val="0"/>
          <w:sz w:val="28"/>
          <w:szCs w:val="28"/>
        </w:rPr>
        <w:t>赛项归属专业大类：</w:t>
      </w:r>
    </w:p>
    <w:tbl>
      <w:tblPr>
        <w:tblStyle w:val="8"/>
        <w:tblW w:w="898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633"/>
        <w:gridCol w:w="1559"/>
        <w:gridCol w:w="1276"/>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71"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组别</w:t>
            </w:r>
          </w:p>
        </w:tc>
        <w:tc>
          <w:tcPr>
            <w:tcW w:w="1633"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专业大类</w:t>
            </w:r>
          </w:p>
        </w:tc>
        <w:tc>
          <w:tcPr>
            <w:tcW w:w="1559"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专业类</w:t>
            </w:r>
          </w:p>
        </w:tc>
        <w:tc>
          <w:tcPr>
            <w:tcW w:w="127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专业代码</w:t>
            </w:r>
          </w:p>
        </w:tc>
        <w:tc>
          <w:tcPr>
            <w:tcW w:w="354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71"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高职</w:t>
            </w:r>
          </w:p>
        </w:tc>
        <w:tc>
          <w:tcPr>
            <w:tcW w:w="1633"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土建大类</w:t>
            </w:r>
          </w:p>
        </w:tc>
        <w:tc>
          <w:tcPr>
            <w:tcW w:w="1559"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建设工程管理类</w:t>
            </w:r>
          </w:p>
        </w:tc>
        <w:tc>
          <w:tcPr>
            <w:tcW w:w="127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540501</w:t>
            </w:r>
          </w:p>
        </w:tc>
        <w:tc>
          <w:tcPr>
            <w:tcW w:w="354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建设工程管理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7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33"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559"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27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540502</w:t>
            </w:r>
          </w:p>
        </w:tc>
        <w:tc>
          <w:tcPr>
            <w:tcW w:w="354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7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33"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559"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27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540504</w:t>
            </w:r>
          </w:p>
        </w:tc>
        <w:tc>
          <w:tcPr>
            <w:tcW w:w="354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建设项目信息化管理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7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33"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559"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27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540505</w:t>
            </w:r>
          </w:p>
        </w:tc>
        <w:tc>
          <w:tcPr>
            <w:tcW w:w="354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建筑工程监理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7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33"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559"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土建施工类</w:t>
            </w:r>
          </w:p>
        </w:tc>
        <w:tc>
          <w:tcPr>
            <w:tcW w:w="127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540301</w:t>
            </w:r>
          </w:p>
        </w:tc>
        <w:tc>
          <w:tcPr>
            <w:tcW w:w="354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7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33"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559"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27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540303</w:t>
            </w:r>
          </w:p>
        </w:tc>
        <w:tc>
          <w:tcPr>
            <w:tcW w:w="354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土木工程检测技术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7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33"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559"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27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540304</w:t>
            </w:r>
          </w:p>
        </w:tc>
        <w:tc>
          <w:tcPr>
            <w:tcW w:w="354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建筑钢结构工程技术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7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33"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559"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建筑设备类</w:t>
            </w:r>
          </w:p>
        </w:tc>
        <w:tc>
          <w:tcPr>
            <w:tcW w:w="127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540401</w:t>
            </w:r>
          </w:p>
        </w:tc>
        <w:tc>
          <w:tcPr>
            <w:tcW w:w="354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建筑设备工程技术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7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33"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559"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27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540402</w:t>
            </w:r>
          </w:p>
        </w:tc>
        <w:tc>
          <w:tcPr>
            <w:tcW w:w="354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供热通风与空调工程技术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7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33"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559"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27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540403</w:t>
            </w:r>
          </w:p>
        </w:tc>
        <w:tc>
          <w:tcPr>
            <w:tcW w:w="354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建筑电气工程技术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7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33"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559"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27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540404</w:t>
            </w:r>
          </w:p>
        </w:tc>
        <w:tc>
          <w:tcPr>
            <w:tcW w:w="354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建筑智能化工程技术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7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33"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559"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27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540405</w:t>
            </w:r>
          </w:p>
        </w:tc>
        <w:tc>
          <w:tcPr>
            <w:tcW w:w="354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工业设备安装工程技术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7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33"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559"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27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540406</w:t>
            </w:r>
          </w:p>
        </w:tc>
        <w:tc>
          <w:tcPr>
            <w:tcW w:w="354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消防工程技术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7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33"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559"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建筑设计类</w:t>
            </w:r>
          </w:p>
        </w:tc>
        <w:tc>
          <w:tcPr>
            <w:tcW w:w="127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540102</w:t>
            </w:r>
          </w:p>
        </w:tc>
        <w:tc>
          <w:tcPr>
            <w:tcW w:w="354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建筑装饰工程技术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7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633"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559"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1276"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540107</w:t>
            </w:r>
          </w:p>
        </w:tc>
        <w:tc>
          <w:tcPr>
            <w:tcW w:w="3544"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建筑动画与模型制作</w:t>
            </w:r>
          </w:p>
        </w:tc>
      </w:tr>
    </w:tbl>
    <w:p>
      <w:pPr>
        <w:pStyle w:val="2"/>
        <w:spacing w:before="156"/>
      </w:pPr>
      <w:r>
        <w:br w:type="page"/>
      </w:r>
    </w:p>
    <w:p>
      <w:pPr>
        <w:pStyle w:val="2"/>
        <w:spacing w:before="156"/>
        <w:rPr>
          <w:rFonts w:cs="Times New Roman"/>
        </w:rPr>
      </w:pPr>
      <w:r>
        <w:rPr>
          <w:rFonts w:hint="eastAsia"/>
        </w:rPr>
        <w:t>二、竞赛目的</w:t>
      </w:r>
    </w:p>
    <w:p>
      <w:pPr>
        <w:spacing w:line="360" w:lineRule="auto"/>
        <w:ind w:firstLine="540"/>
        <w:rPr>
          <w:rFonts w:hint="eastAsia" w:ascii="仿宋" w:hAnsi="仿宋" w:eastAsia="仿宋" w:cs="仿宋"/>
          <w:kern w:val="0"/>
          <w:sz w:val="28"/>
          <w:szCs w:val="28"/>
        </w:rPr>
      </w:pPr>
      <w:r>
        <w:rPr>
          <w:rFonts w:hint="eastAsia" w:ascii="仿宋" w:hAnsi="仿宋" w:eastAsia="仿宋" w:cs="仿宋"/>
          <w:kern w:val="0"/>
          <w:sz w:val="28"/>
          <w:szCs w:val="28"/>
        </w:rPr>
        <w:t>贯彻落实《国家中长期教育改革和发展规划纲要（2010－2020年）》的要求，推动产教结合，持续提高职教育服务国家经济转变方式、调结构战略目标的能力，展示职教成果，充分发挥技能竞赛的引领作用，提升职业学校学生的职业能力，推进高等职业学校建筑专业课程教学改革，探索施工技术应用技术技能型人才培养的模式，促进职业教育的双师型教师队伍建设，引领职业教育教学改革的方向。</w:t>
      </w:r>
    </w:p>
    <w:p>
      <w:pPr>
        <w:spacing w:line="360" w:lineRule="auto"/>
        <w:ind w:firstLine="540"/>
        <w:rPr>
          <w:rFonts w:hint="eastAsia" w:ascii="仿宋" w:hAnsi="仿宋" w:eastAsia="仿宋" w:cs="仿宋"/>
          <w:kern w:val="0"/>
          <w:sz w:val="28"/>
          <w:szCs w:val="28"/>
        </w:rPr>
      </w:pPr>
      <w:r>
        <w:rPr>
          <w:rFonts w:hint="eastAsia" w:ascii="仿宋" w:hAnsi="仿宋" w:eastAsia="仿宋" w:cs="仿宋"/>
          <w:kern w:val="0"/>
          <w:sz w:val="28"/>
          <w:szCs w:val="28"/>
        </w:rPr>
        <w:t>1.提升职业学校学生的职业能力</w:t>
      </w:r>
    </w:p>
    <w:p>
      <w:pPr>
        <w:spacing w:line="360" w:lineRule="auto"/>
        <w:ind w:firstLine="540"/>
        <w:rPr>
          <w:rFonts w:hint="eastAsia" w:ascii="仿宋" w:hAnsi="仿宋" w:eastAsia="仿宋" w:cs="仿宋"/>
          <w:kern w:val="0"/>
          <w:sz w:val="28"/>
          <w:szCs w:val="28"/>
        </w:rPr>
      </w:pPr>
      <w:r>
        <w:rPr>
          <w:rFonts w:hint="eastAsia" w:ascii="仿宋" w:hAnsi="仿宋" w:eastAsia="仿宋" w:cs="仿宋"/>
          <w:kern w:val="0"/>
          <w:sz w:val="28"/>
          <w:szCs w:val="28"/>
        </w:rPr>
        <w:t>职业学校学生技能操作是职业能力和素质培养不可缺少的部分。通过开展技能竞赛，让职业学校的学生全员参与、全员训练、全面提高的技能竞赛参与度，通过技能竞赛学生不仅加强了基本技能训练、提高了专业技术水平，而且能够强化学生基础理论、基本知识的学习，更重要的是从而提升了专业能力、职业素质、人文素养和沟通能力和职业自豪感；同时，通过组织技能竞赛，增强学生的凝聚力使学生之间形成互帮互助互学、团结向上、积极进取的氛围，增强职业的责任感和使命感，以达到提升学生职业能力的最终目的。</w:t>
      </w:r>
    </w:p>
    <w:p>
      <w:pPr>
        <w:spacing w:line="360" w:lineRule="auto"/>
        <w:ind w:firstLine="540"/>
        <w:rPr>
          <w:rFonts w:hint="eastAsia" w:ascii="仿宋" w:hAnsi="仿宋" w:eastAsia="仿宋" w:cs="仿宋"/>
          <w:kern w:val="0"/>
          <w:sz w:val="28"/>
          <w:szCs w:val="28"/>
        </w:rPr>
      </w:pPr>
      <w:r>
        <w:rPr>
          <w:rFonts w:hint="eastAsia" w:ascii="仿宋" w:hAnsi="仿宋" w:eastAsia="仿宋" w:cs="仿宋"/>
          <w:kern w:val="0"/>
          <w:sz w:val="28"/>
          <w:szCs w:val="28"/>
        </w:rPr>
        <w:t>2.推进建筑专业课程教学改革</w:t>
      </w:r>
    </w:p>
    <w:p>
      <w:pPr>
        <w:spacing w:line="360" w:lineRule="auto"/>
        <w:ind w:firstLine="540"/>
        <w:rPr>
          <w:rFonts w:hint="eastAsia" w:ascii="仿宋" w:hAnsi="仿宋" w:eastAsia="仿宋" w:cs="仿宋"/>
          <w:kern w:val="0"/>
          <w:sz w:val="28"/>
          <w:szCs w:val="28"/>
        </w:rPr>
      </w:pPr>
      <w:r>
        <w:rPr>
          <w:rFonts w:hint="eastAsia" w:ascii="仿宋" w:hAnsi="仿宋" w:eastAsia="仿宋" w:cs="仿宋"/>
          <w:kern w:val="0"/>
          <w:sz w:val="28"/>
          <w:szCs w:val="28"/>
        </w:rPr>
        <w:t>传统的建筑工程技术应用技术教学采用以“知识为中心”的从理论到理论的教学法使得教师讲课很辛苦，学生学得很痛苦，教学双方都感到该课程难教难学。采用以项目为载体的行动导向教学模式，利用建筑工程专业技术实际应用有效地把抽象的内容变为具体，让“做中学，做中教”的教学模式在施工技术课程的教学中能充分运用，同时推进建筑专业课程考核和评价方式的改革，让高等职业学校教师树立施工技术课程教学的信心，实实在在地引领建筑类施工技术课程改革和教学方法的改革，切实提高技能型人才的培养质量。</w:t>
      </w:r>
    </w:p>
    <w:p>
      <w:pPr>
        <w:spacing w:line="360" w:lineRule="auto"/>
        <w:ind w:firstLine="540"/>
        <w:rPr>
          <w:rFonts w:hint="eastAsia" w:ascii="仿宋" w:hAnsi="仿宋" w:eastAsia="仿宋" w:cs="仿宋"/>
          <w:kern w:val="0"/>
          <w:sz w:val="28"/>
          <w:szCs w:val="28"/>
        </w:rPr>
      </w:pPr>
      <w:r>
        <w:rPr>
          <w:rFonts w:hint="eastAsia" w:ascii="仿宋" w:hAnsi="仿宋" w:eastAsia="仿宋" w:cs="仿宋"/>
          <w:kern w:val="0"/>
          <w:sz w:val="28"/>
          <w:szCs w:val="28"/>
        </w:rPr>
        <w:t>3.推动校企合作和课程开发的进程</w:t>
      </w:r>
    </w:p>
    <w:p>
      <w:pPr>
        <w:spacing w:line="360" w:lineRule="auto"/>
        <w:ind w:firstLine="540"/>
        <w:rPr>
          <w:rFonts w:hint="eastAsia" w:ascii="仿宋" w:hAnsi="仿宋" w:eastAsia="仿宋" w:cs="仿宋"/>
          <w:kern w:val="0"/>
          <w:sz w:val="28"/>
          <w:szCs w:val="28"/>
        </w:rPr>
      </w:pPr>
      <w:r>
        <w:rPr>
          <w:rFonts w:hint="eastAsia" w:ascii="仿宋" w:hAnsi="仿宋" w:eastAsia="仿宋" w:cs="仿宋"/>
          <w:kern w:val="0"/>
          <w:sz w:val="28"/>
          <w:szCs w:val="28"/>
        </w:rPr>
        <w:t>通过建筑工程施工工艺及管理技能竟赛，进一步吸引企业对高职学校施工技术课程教学的关注，展示职教风采，为深化校企合作打基础。促进专业教师积极地深入企业，了解施工技术应用的前沿知识技术，明确企业对建筑工程施工技术应用技能型人才的需求，掌握建筑工程在施工中的具体应用，与企业相关人员合作进行技术开发或相关课程开发，使学校培养的人才适应企业的需求；通过校企合作进一步推进学校的专业建设，培养适应人才市场需求的实用人才。通过建筑工程施工工艺与管理技能竞赛建筑类等专业的技术应用和课程开发。</w:t>
      </w:r>
    </w:p>
    <w:p>
      <w:pPr>
        <w:spacing w:line="360" w:lineRule="auto"/>
        <w:ind w:firstLine="540"/>
        <w:rPr>
          <w:rFonts w:hint="eastAsia" w:ascii="仿宋" w:hAnsi="仿宋" w:eastAsia="仿宋" w:cs="仿宋"/>
          <w:kern w:val="0"/>
          <w:sz w:val="28"/>
          <w:szCs w:val="28"/>
        </w:rPr>
      </w:pPr>
      <w:r>
        <w:rPr>
          <w:rFonts w:hint="eastAsia" w:ascii="仿宋" w:hAnsi="仿宋" w:eastAsia="仿宋" w:cs="仿宋"/>
          <w:kern w:val="0"/>
          <w:sz w:val="28"/>
          <w:szCs w:val="28"/>
        </w:rPr>
        <w:t>4.促进双师型教师队伍建设和教师教学能力的提高</w:t>
      </w:r>
    </w:p>
    <w:p>
      <w:pPr>
        <w:spacing w:line="360" w:lineRule="auto"/>
        <w:ind w:firstLine="540"/>
        <w:rPr>
          <w:rFonts w:hint="eastAsia" w:ascii="仿宋" w:hAnsi="仿宋" w:eastAsia="仿宋" w:cs="仿宋"/>
          <w:kern w:val="0"/>
          <w:sz w:val="28"/>
          <w:szCs w:val="28"/>
        </w:rPr>
      </w:pPr>
      <w:r>
        <w:rPr>
          <w:rFonts w:hint="eastAsia" w:ascii="仿宋" w:hAnsi="仿宋" w:eastAsia="仿宋" w:cs="仿宋"/>
          <w:kern w:val="0"/>
          <w:sz w:val="28"/>
          <w:szCs w:val="28"/>
        </w:rPr>
        <w:t>职业院校的专业教师不仅要掌握教育教学的理论和方法，还要有丰富的专业知识、工作过程知识和操作技能等相关职业能力，双师型教师应该具备“做”和“教”这两方面的专业能力。通过建筑工程施工工艺与管理技能竞赛来提升参赛者对建筑工程项目管理和施工过程中的工艺流程等方面的实际操作技能，和教师实施教学项目的教学目标、教学内容、教学过程、教学评价等方面的教学设计能力。</w:t>
      </w:r>
    </w:p>
    <w:p>
      <w:pPr>
        <w:pStyle w:val="2"/>
        <w:spacing w:before="156"/>
        <w:rPr>
          <w:rFonts w:cs="Times New Roman"/>
        </w:rPr>
      </w:pPr>
      <w:r>
        <w:rPr>
          <w:rFonts w:hint="eastAsia"/>
        </w:rPr>
        <w:t>三、竞赛内容</w:t>
      </w:r>
    </w:p>
    <w:p>
      <w:pPr>
        <w:snapToGrid w:val="0"/>
        <w:spacing w:line="560" w:lineRule="exact"/>
        <w:ind w:firstLine="560" w:firstLineChars="200"/>
        <w:rPr>
          <w:rFonts w:hint="eastAsia" w:ascii="仿宋" w:hAnsi="仿宋" w:eastAsia="仿宋" w:cs="仿宋"/>
          <w:kern w:val="0"/>
          <w:sz w:val="28"/>
          <w:szCs w:val="28"/>
        </w:rPr>
      </w:pPr>
      <w:r>
        <w:rPr>
          <w:rFonts w:ascii="仿宋" w:hAnsi="仿宋" w:eastAsia="仿宋" w:cs="仿宋"/>
          <w:kern w:val="0"/>
          <w:sz w:val="28"/>
          <w:szCs w:val="28"/>
        </w:rPr>
        <w:t>建筑工程施工工艺及管理竞赛，以大赛为平台，是对全国建设类院校学生施工技术技能水平的一场考验，也是对各校教学水平及应用的一场切磋交流。</w:t>
      </w:r>
    </w:p>
    <w:p>
      <w:pPr>
        <w:snapToGrid w:val="0"/>
        <w:spacing w:line="560" w:lineRule="exact"/>
        <w:ind w:firstLine="560" w:firstLineChars="20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建筑工程施工工艺与管理竞赛内容包含：</w:t>
      </w:r>
    </w:p>
    <w:p>
      <w:pPr>
        <w:snapToGrid w:val="0"/>
        <w:spacing w:line="56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w:t>
      </w:r>
      <w:r>
        <w:rPr>
          <w:rFonts w:ascii="仿宋" w:hAnsi="仿宋" w:eastAsia="仿宋" w:cs="Arial"/>
          <w:color w:val="000000" w:themeColor="text1"/>
          <w:sz w:val="28"/>
          <w:szCs w:val="28"/>
          <w14:textFill>
            <w14:solidFill>
              <w14:schemeClr w14:val="tx1"/>
            </w14:solidFill>
          </w14:textFill>
        </w:rPr>
        <w:t>一</w:t>
      </w:r>
      <w:r>
        <w:rPr>
          <w:rFonts w:hint="eastAsia" w:ascii="仿宋" w:hAnsi="仿宋" w:eastAsia="仿宋" w:cs="Arial"/>
          <w:color w:val="000000" w:themeColor="text1"/>
          <w:sz w:val="28"/>
          <w:szCs w:val="28"/>
          <w14:textFill>
            <w14:solidFill>
              <w14:schemeClr w14:val="tx1"/>
            </w14:solidFill>
          </w14:textFill>
        </w:rPr>
        <w:t>）</w:t>
      </w:r>
      <w:r>
        <w:rPr>
          <w:rFonts w:ascii="仿宋" w:hAnsi="仿宋" w:eastAsia="仿宋" w:cs="Arial"/>
          <w:color w:val="000000" w:themeColor="text1"/>
          <w:sz w:val="28"/>
          <w:szCs w:val="28"/>
          <w14:textFill>
            <w14:solidFill>
              <w14:schemeClr w14:val="tx1"/>
            </w14:solidFill>
          </w14:textFill>
        </w:rPr>
        <w:t>：专业技术知识问答竞赛</w:t>
      </w:r>
    </w:p>
    <w:p>
      <w:pPr>
        <w:snapToGrid w:val="0"/>
        <w:spacing w:line="560" w:lineRule="exact"/>
        <w:ind w:firstLine="560" w:firstLineChars="200"/>
        <w:rPr>
          <w:rFonts w:hint="eastAsia"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根据</w:t>
      </w:r>
      <w:r>
        <w:rPr>
          <w:rFonts w:hint="eastAsia" w:ascii="仿宋" w:hAnsi="仿宋" w:eastAsia="仿宋" w:cs="Arial"/>
          <w:color w:val="000000" w:themeColor="text1"/>
          <w:sz w:val="28"/>
          <w:szCs w:val="28"/>
          <w14:textFill>
            <w14:solidFill>
              <w14:schemeClr w14:val="tx1"/>
            </w14:solidFill>
          </w14:textFill>
        </w:rPr>
        <w:t>竟</w:t>
      </w:r>
      <w:r>
        <w:rPr>
          <w:rFonts w:ascii="仿宋" w:hAnsi="仿宋" w:eastAsia="仿宋" w:cs="Arial"/>
          <w:color w:val="000000" w:themeColor="text1"/>
          <w:sz w:val="28"/>
          <w:szCs w:val="28"/>
          <w14:textFill>
            <w14:solidFill>
              <w14:schemeClr w14:val="tx1"/>
            </w14:solidFill>
          </w14:textFill>
        </w:rPr>
        <w:t>赛平台提供的理论题卷，含建筑施工、结构施工、安全标化、装配式施工、规范及施工方案将各专业问答在软件内进行组卷，通过</w:t>
      </w:r>
      <w:r>
        <w:rPr>
          <w:rFonts w:hint="eastAsia" w:ascii="仿宋" w:hAnsi="仿宋" w:eastAsia="仿宋" w:cs="Arial"/>
          <w:color w:val="000000" w:themeColor="text1"/>
          <w:sz w:val="28"/>
          <w:szCs w:val="28"/>
          <w14:textFill>
            <w14:solidFill>
              <w14:schemeClr w14:val="tx1"/>
            </w14:solidFill>
          </w14:textFill>
        </w:rPr>
        <w:t>三</w:t>
      </w:r>
      <w:r>
        <w:rPr>
          <w:rFonts w:ascii="仿宋" w:hAnsi="仿宋" w:eastAsia="仿宋" w:cs="Arial"/>
          <w:color w:val="000000" w:themeColor="text1"/>
          <w:sz w:val="28"/>
          <w:szCs w:val="28"/>
          <w14:textFill>
            <w14:solidFill>
              <w14:schemeClr w14:val="tx1"/>
            </w14:solidFill>
          </w14:textFill>
        </w:rPr>
        <w:t>人协同，共同完成对专业技术知识进行考核。</w:t>
      </w:r>
      <w:r>
        <w:rPr>
          <w:rFonts w:hint="eastAsia" w:ascii="仿宋" w:hAnsi="仿宋" w:eastAsia="仿宋" w:cs="Arial"/>
          <w:color w:val="000000" w:themeColor="text1"/>
          <w:sz w:val="28"/>
          <w:szCs w:val="28"/>
          <w14:textFill>
            <w14:solidFill>
              <w14:schemeClr w14:val="tx1"/>
            </w14:solidFill>
          </w14:textFill>
        </w:rPr>
        <w:t>参</w:t>
      </w:r>
      <w:r>
        <w:rPr>
          <w:rFonts w:ascii="仿宋" w:hAnsi="仿宋" w:eastAsia="仿宋" w:cs="Arial"/>
          <w:color w:val="000000" w:themeColor="text1"/>
          <w:sz w:val="28"/>
          <w:szCs w:val="28"/>
          <w14:textFill>
            <w14:solidFill>
              <w14:schemeClr w14:val="tx1"/>
            </w14:solidFill>
          </w14:textFill>
        </w:rPr>
        <w:t>赛选手以团队形式进行分工答题，完成专业答题</w:t>
      </w:r>
      <w:r>
        <w:rPr>
          <w:rFonts w:hint="eastAsia" w:ascii="仿宋" w:hAnsi="仿宋" w:eastAsia="仿宋" w:cs="Arial"/>
          <w:color w:val="000000" w:themeColor="text1"/>
          <w:sz w:val="28"/>
          <w:szCs w:val="28"/>
          <w14:textFill>
            <w14:solidFill>
              <w14:schemeClr w14:val="tx1"/>
            </w14:solidFill>
          </w14:textFill>
        </w:rPr>
        <w:t>。</w:t>
      </w:r>
      <w:r>
        <w:rPr>
          <w:rFonts w:ascii="仿宋" w:hAnsi="仿宋" w:eastAsia="仿宋" w:cs="Arial"/>
          <w:color w:val="000000" w:themeColor="text1"/>
          <w:sz w:val="28"/>
          <w:szCs w:val="28"/>
          <w14:textFill>
            <w14:solidFill>
              <w14:schemeClr w14:val="tx1"/>
            </w14:solidFill>
          </w14:textFill>
        </w:rPr>
        <w:t>最后根据题目要求得出答案，提交到大赛系统，由大赛系统自动评分。</w:t>
      </w:r>
    </w:p>
    <w:p>
      <w:pPr>
        <w:snapToGrid w:val="0"/>
        <w:spacing w:line="56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w:t>
      </w:r>
      <w:r>
        <w:rPr>
          <w:rFonts w:ascii="仿宋" w:hAnsi="仿宋" w:eastAsia="仿宋" w:cs="Arial"/>
          <w:color w:val="000000" w:themeColor="text1"/>
          <w:sz w:val="28"/>
          <w:szCs w:val="28"/>
          <w14:textFill>
            <w14:solidFill>
              <w14:schemeClr w14:val="tx1"/>
            </w14:solidFill>
          </w14:textFill>
        </w:rPr>
        <w:t>二</w:t>
      </w:r>
      <w:r>
        <w:rPr>
          <w:rFonts w:hint="eastAsia" w:ascii="仿宋" w:hAnsi="仿宋" w:eastAsia="仿宋" w:cs="Arial"/>
          <w:color w:val="000000" w:themeColor="text1"/>
          <w:sz w:val="28"/>
          <w:szCs w:val="28"/>
          <w14:textFill>
            <w14:solidFill>
              <w14:schemeClr w14:val="tx1"/>
            </w14:solidFill>
          </w14:textFill>
        </w:rPr>
        <w:t>）</w:t>
      </w:r>
      <w:r>
        <w:rPr>
          <w:rFonts w:ascii="仿宋" w:hAnsi="仿宋" w:eastAsia="仿宋" w:cs="Arial"/>
          <w:color w:val="000000" w:themeColor="text1"/>
          <w:sz w:val="28"/>
          <w:szCs w:val="28"/>
          <w14:textFill>
            <w14:solidFill>
              <w14:schemeClr w14:val="tx1"/>
            </w14:solidFill>
          </w14:textFill>
        </w:rPr>
        <w:t>：施工工艺流程竞赛</w:t>
      </w:r>
    </w:p>
    <w:p>
      <w:pPr>
        <w:snapToGrid w:val="0"/>
        <w:spacing w:line="560" w:lineRule="exact"/>
        <w:ind w:firstLine="560" w:firstLineChars="20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根据提供的模型、工具、材料等相关工具，</w:t>
      </w:r>
      <w:r>
        <w:rPr>
          <w:rFonts w:hint="eastAsia" w:ascii="仿宋" w:hAnsi="仿宋" w:eastAsia="仿宋" w:cs="Arial"/>
          <w:sz w:val="28"/>
          <w:szCs w:val="28"/>
        </w:rPr>
        <w:t>参考</w:t>
      </w:r>
      <w:r>
        <w:rPr>
          <w:rFonts w:ascii="仿宋" w:hAnsi="仿宋" w:eastAsia="仿宋" w:cs="Arial"/>
          <w:color w:val="000000" w:themeColor="text1"/>
          <w:sz w:val="28"/>
          <w:szCs w:val="28"/>
          <w14:textFill>
            <w14:solidFill>
              <w14:schemeClr w14:val="tx1"/>
            </w14:solidFill>
          </w14:textFill>
        </w:rPr>
        <w:t>施工工艺</w:t>
      </w:r>
      <w:r>
        <w:rPr>
          <w:rFonts w:hint="eastAsia" w:ascii="仿宋" w:hAnsi="仿宋" w:eastAsia="仿宋" w:cs="Arial"/>
          <w:color w:val="000000" w:themeColor="text1"/>
          <w:sz w:val="28"/>
          <w:szCs w:val="28"/>
          <w14:textFill>
            <w14:solidFill>
              <w14:schemeClr w14:val="tx1"/>
            </w14:solidFill>
          </w14:textFill>
        </w:rPr>
        <w:t>、装配式工艺</w:t>
      </w:r>
      <w:r>
        <w:rPr>
          <w:rFonts w:ascii="仿宋" w:hAnsi="仿宋" w:eastAsia="仿宋" w:cs="Arial"/>
          <w:color w:val="000000" w:themeColor="text1"/>
          <w:sz w:val="28"/>
          <w:szCs w:val="28"/>
          <w14:textFill>
            <w14:solidFill>
              <w14:schemeClr w14:val="tx1"/>
            </w14:solidFill>
          </w14:textFill>
        </w:rPr>
        <w:t>标准流程</w:t>
      </w:r>
      <w:r>
        <w:rPr>
          <w:rFonts w:ascii="仿宋" w:hAnsi="仿宋" w:eastAsia="仿宋" w:cs="Arial"/>
          <w:sz w:val="28"/>
          <w:szCs w:val="28"/>
        </w:rPr>
        <w:t>，学生在没有提示的情况下进行工艺实</w:t>
      </w:r>
      <w:r>
        <w:rPr>
          <w:rFonts w:hint="eastAsia" w:ascii="仿宋" w:hAnsi="仿宋" w:eastAsia="仿宋" w:cs="Arial"/>
          <w:sz w:val="28"/>
          <w:szCs w:val="28"/>
        </w:rPr>
        <w:t>操</w:t>
      </w:r>
      <w:r>
        <w:rPr>
          <w:rFonts w:ascii="仿宋" w:hAnsi="仿宋" w:eastAsia="仿宋" w:cs="Arial"/>
          <w:sz w:val="28"/>
          <w:szCs w:val="28"/>
        </w:rPr>
        <w:t>。</w:t>
      </w:r>
    </w:p>
    <w:p>
      <w:pPr>
        <w:snapToGrid w:val="0"/>
        <w:spacing w:line="560" w:lineRule="exact"/>
        <w:rPr>
          <w:rFonts w:hint="eastAsia"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根据施工步骤的准确性得出相应题目的分数，并将分数提交到大赛系统，由大赛系统自动评分。</w:t>
      </w:r>
    </w:p>
    <w:p>
      <w:pPr>
        <w:snapToGrid w:val="0"/>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相关规范图集</w:t>
      </w:r>
    </w:p>
    <w:tbl>
      <w:tblPr>
        <w:tblStyle w:val="8"/>
        <w:tblW w:w="8658" w:type="dxa"/>
        <w:jc w:val="center"/>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51"/>
        <w:gridCol w:w="5621"/>
        <w:gridCol w:w="2386"/>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18" w:hRule="atLeast"/>
          <w:jc w:val="center"/>
        </w:trPr>
        <w:tc>
          <w:tcPr>
            <w:tcW w:w="651" w:type="dxa"/>
            <w:vAlign w:val="center"/>
          </w:tcPr>
          <w:p>
            <w:pPr>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类别</w:t>
            </w:r>
          </w:p>
        </w:tc>
        <w:tc>
          <w:tcPr>
            <w:tcW w:w="5621" w:type="dxa"/>
            <w:vAlign w:val="center"/>
          </w:tcPr>
          <w:p>
            <w:pPr>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名       称</w:t>
            </w:r>
          </w:p>
        </w:tc>
        <w:tc>
          <w:tcPr>
            <w:tcW w:w="2386" w:type="dxa"/>
            <w:vAlign w:val="center"/>
          </w:tcPr>
          <w:p>
            <w:pPr>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编    号</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jc w:val="center"/>
        </w:trPr>
        <w:tc>
          <w:tcPr>
            <w:tcW w:w="651"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图集</w:t>
            </w:r>
          </w:p>
        </w:tc>
        <w:tc>
          <w:tcPr>
            <w:tcW w:w="5621"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国家建筑标准设计图集</w:t>
            </w:r>
          </w:p>
        </w:tc>
        <w:tc>
          <w:tcPr>
            <w:tcW w:w="2386"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16G101—1、2、3</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jc w:val="center"/>
        </w:trPr>
        <w:tc>
          <w:tcPr>
            <w:tcW w:w="651" w:type="dxa"/>
            <w:vMerge w:val="restart"/>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国家</w:t>
            </w:r>
          </w:p>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标准</w:t>
            </w:r>
          </w:p>
        </w:tc>
        <w:tc>
          <w:tcPr>
            <w:tcW w:w="5621"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《工程测量规范》</w:t>
            </w:r>
          </w:p>
        </w:tc>
        <w:tc>
          <w:tcPr>
            <w:tcW w:w="2386"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GB50026</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jc w:val="center"/>
        </w:trPr>
        <w:tc>
          <w:tcPr>
            <w:tcW w:w="65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5621" w:type="dxa"/>
            <w:vAlign w:val="center"/>
          </w:tcPr>
          <w:p>
            <w:pPr>
              <w:pStyle w:val="14"/>
              <w:widowControl w:val="0"/>
              <w:spacing w:before="0" w:after="0"/>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《地下工程防水技术规范》</w:t>
            </w:r>
          </w:p>
        </w:tc>
        <w:tc>
          <w:tcPr>
            <w:tcW w:w="2386"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GB50108</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8" w:hRule="atLeast"/>
          <w:jc w:val="center"/>
        </w:trPr>
        <w:tc>
          <w:tcPr>
            <w:tcW w:w="65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5621"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《砼外加剂应用技术规范》</w:t>
            </w:r>
          </w:p>
        </w:tc>
        <w:tc>
          <w:tcPr>
            <w:tcW w:w="2386"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GB50119</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jc w:val="center"/>
        </w:trPr>
        <w:tc>
          <w:tcPr>
            <w:tcW w:w="65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5621"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《人民防空工程施工验收规范》</w:t>
            </w:r>
          </w:p>
        </w:tc>
        <w:tc>
          <w:tcPr>
            <w:tcW w:w="2386" w:type="dxa"/>
            <w:vAlign w:val="center"/>
          </w:tcPr>
          <w:p>
            <w:pPr>
              <w:pStyle w:val="14"/>
              <w:widowControl w:val="0"/>
              <w:spacing w:before="0" w:after="0"/>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GB50134</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jc w:val="center"/>
        </w:trPr>
        <w:tc>
          <w:tcPr>
            <w:tcW w:w="65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5621"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《建筑地基与地基工程施工质量验收规范》</w:t>
            </w:r>
          </w:p>
        </w:tc>
        <w:tc>
          <w:tcPr>
            <w:tcW w:w="2386"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GB50202</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jc w:val="center"/>
        </w:trPr>
        <w:tc>
          <w:tcPr>
            <w:tcW w:w="65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5621"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《砌体工程施工质量验收规范》</w:t>
            </w:r>
          </w:p>
        </w:tc>
        <w:tc>
          <w:tcPr>
            <w:tcW w:w="2386"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GB50203</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jc w:val="center"/>
        </w:trPr>
        <w:tc>
          <w:tcPr>
            <w:tcW w:w="65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5621"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《砼结构工程施工质量验收规范》</w:t>
            </w:r>
          </w:p>
        </w:tc>
        <w:tc>
          <w:tcPr>
            <w:tcW w:w="2386"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GB50204</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00" w:hRule="atLeast"/>
          <w:jc w:val="center"/>
        </w:trPr>
        <w:tc>
          <w:tcPr>
            <w:tcW w:w="65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5621"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《屋面工程施工质量验收规范》</w:t>
            </w:r>
          </w:p>
        </w:tc>
        <w:tc>
          <w:tcPr>
            <w:tcW w:w="2386"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GB50207</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jc w:val="center"/>
        </w:trPr>
        <w:tc>
          <w:tcPr>
            <w:tcW w:w="651" w:type="dxa"/>
            <w:vMerge w:val="continue"/>
            <w:vAlign w:val="center"/>
          </w:tcPr>
          <w:p>
            <w:pPr>
              <w:jc w:val="center"/>
              <w:rPr>
                <w:rFonts w:ascii="仿宋" w:hAnsi="仿宋" w:eastAsia="仿宋" w:cs="仿宋"/>
                <w:color w:val="000000" w:themeColor="text1"/>
                <w:sz w:val="24"/>
                <w:szCs w:val="24"/>
                <w14:textFill>
                  <w14:solidFill>
                    <w14:schemeClr w14:val="tx1"/>
                  </w14:solidFill>
                </w14:textFill>
              </w:rPr>
            </w:pPr>
          </w:p>
        </w:tc>
        <w:tc>
          <w:tcPr>
            <w:tcW w:w="5621" w:type="dxa"/>
            <w:vAlign w:val="center"/>
          </w:tcPr>
          <w:p>
            <w:pPr>
              <w:pStyle w:val="14"/>
              <w:widowControl w:val="0"/>
              <w:spacing w:before="0" w:after="0"/>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《地下防水工程质量验收规范》</w:t>
            </w:r>
          </w:p>
        </w:tc>
        <w:tc>
          <w:tcPr>
            <w:tcW w:w="2386"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GB50208</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jc w:val="center"/>
        </w:trPr>
        <w:tc>
          <w:tcPr>
            <w:tcW w:w="651" w:type="dxa"/>
            <w:vMerge w:val="continue"/>
            <w:vAlign w:val="center"/>
          </w:tcPr>
          <w:p>
            <w:pPr>
              <w:rPr>
                <w:rFonts w:ascii="仿宋" w:hAnsi="仿宋" w:eastAsia="仿宋" w:cs="仿宋"/>
                <w:color w:val="000000" w:themeColor="text1"/>
                <w:sz w:val="24"/>
                <w:szCs w:val="24"/>
                <w14:textFill>
                  <w14:solidFill>
                    <w14:schemeClr w14:val="tx1"/>
                  </w14:solidFill>
                </w14:textFill>
              </w:rPr>
            </w:pPr>
          </w:p>
        </w:tc>
        <w:tc>
          <w:tcPr>
            <w:tcW w:w="5621"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《建筑地面工程施工质量验收规范》</w:t>
            </w:r>
          </w:p>
        </w:tc>
        <w:tc>
          <w:tcPr>
            <w:tcW w:w="2386"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GB50209</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jc w:val="center"/>
        </w:trPr>
        <w:tc>
          <w:tcPr>
            <w:tcW w:w="651" w:type="dxa"/>
            <w:vMerge w:val="continue"/>
            <w:vAlign w:val="center"/>
          </w:tcPr>
          <w:p>
            <w:pPr>
              <w:rPr>
                <w:rFonts w:ascii="仿宋" w:hAnsi="仿宋" w:eastAsia="仿宋" w:cs="仿宋"/>
                <w:color w:val="000000" w:themeColor="text1"/>
                <w:sz w:val="24"/>
                <w:szCs w:val="24"/>
                <w14:textFill>
                  <w14:solidFill>
                    <w14:schemeClr w14:val="tx1"/>
                  </w14:solidFill>
                </w14:textFill>
              </w:rPr>
            </w:pPr>
          </w:p>
        </w:tc>
        <w:tc>
          <w:tcPr>
            <w:tcW w:w="5621"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《建筑装饰装修工程质量验收规范》</w:t>
            </w:r>
          </w:p>
        </w:tc>
        <w:tc>
          <w:tcPr>
            <w:tcW w:w="2386"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GB50210</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jc w:val="center"/>
        </w:trPr>
        <w:tc>
          <w:tcPr>
            <w:tcW w:w="651" w:type="dxa"/>
            <w:vMerge w:val="continue"/>
            <w:vAlign w:val="center"/>
          </w:tcPr>
          <w:p>
            <w:pPr>
              <w:rPr>
                <w:rFonts w:ascii="仿宋" w:hAnsi="仿宋" w:eastAsia="仿宋" w:cs="仿宋"/>
                <w:color w:val="000000" w:themeColor="text1"/>
                <w:sz w:val="24"/>
                <w:szCs w:val="24"/>
                <w14:textFill>
                  <w14:solidFill>
                    <w14:schemeClr w14:val="tx1"/>
                  </w14:solidFill>
                </w14:textFill>
              </w:rPr>
            </w:pPr>
          </w:p>
        </w:tc>
        <w:tc>
          <w:tcPr>
            <w:tcW w:w="5621" w:type="dxa"/>
            <w:vAlign w:val="center"/>
          </w:tcPr>
          <w:p>
            <w:pPr>
              <w:jc w:val="left"/>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snapToGrid w:val="0"/>
                <w:color w:val="000000" w:themeColor="text1"/>
                <w:kern w:val="0"/>
                <w:sz w:val="24"/>
                <w:szCs w:val="24"/>
                <w14:textFill>
                  <w14:solidFill>
                    <w14:schemeClr w14:val="tx1"/>
                  </w14:solidFill>
                </w14:textFill>
              </w:rPr>
              <w:t>建设工程项目管理规范》</w:t>
            </w:r>
          </w:p>
        </w:tc>
        <w:tc>
          <w:tcPr>
            <w:tcW w:w="2386" w:type="dxa"/>
            <w:vAlign w:val="center"/>
          </w:tcPr>
          <w:p>
            <w:pPr>
              <w:jc w:val="left"/>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GB/T50326</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jc w:val="center"/>
        </w:trPr>
        <w:tc>
          <w:tcPr>
            <w:tcW w:w="651" w:type="dxa"/>
            <w:vMerge w:val="continue"/>
            <w:vAlign w:val="center"/>
          </w:tcPr>
          <w:p>
            <w:pPr>
              <w:rPr>
                <w:rFonts w:ascii="仿宋" w:hAnsi="仿宋" w:eastAsia="仿宋" w:cs="仿宋"/>
                <w:color w:val="000000" w:themeColor="text1"/>
                <w:sz w:val="24"/>
                <w:szCs w:val="24"/>
                <w14:textFill>
                  <w14:solidFill>
                    <w14:schemeClr w14:val="tx1"/>
                  </w14:solidFill>
                </w14:textFill>
              </w:rPr>
            </w:pPr>
          </w:p>
        </w:tc>
        <w:tc>
          <w:tcPr>
            <w:tcW w:w="5621"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《民用建筑工程室内环境污染控制规范》</w:t>
            </w:r>
          </w:p>
        </w:tc>
        <w:tc>
          <w:tcPr>
            <w:tcW w:w="2386"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GB50325</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jc w:val="center"/>
        </w:trPr>
        <w:tc>
          <w:tcPr>
            <w:tcW w:w="651" w:type="dxa"/>
            <w:vMerge w:val="continue"/>
            <w:vAlign w:val="center"/>
          </w:tcPr>
          <w:p>
            <w:pPr>
              <w:rPr>
                <w:rFonts w:ascii="仿宋" w:hAnsi="仿宋" w:eastAsia="仿宋" w:cs="仿宋"/>
                <w:color w:val="000000" w:themeColor="text1"/>
                <w:sz w:val="24"/>
                <w:szCs w:val="24"/>
                <w14:textFill>
                  <w14:solidFill>
                    <w14:schemeClr w14:val="tx1"/>
                  </w14:solidFill>
                </w14:textFill>
              </w:rPr>
            </w:pPr>
          </w:p>
        </w:tc>
        <w:tc>
          <w:tcPr>
            <w:tcW w:w="5621"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《建设工程项目管理规范》</w:t>
            </w:r>
          </w:p>
        </w:tc>
        <w:tc>
          <w:tcPr>
            <w:tcW w:w="2386"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GB/T50326</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jc w:val="center"/>
        </w:trPr>
        <w:tc>
          <w:tcPr>
            <w:tcW w:w="651" w:type="dxa"/>
            <w:vMerge w:val="continue"/>
            <w:vAlign w:val="center"/>
          </w:tcPr>
          <w:p>
            <w:pPr>
              <w:rPr>
                <w:rFonts w:ascii="仿宋" w:hAnsi="仿宋" w:eastAsia="仿宋" w:cs="仿宋"/>
                <w:color w:val="000000" w:themeColor="text1"/>
                <w:sz w:val="24"/>
                <w:szCs w:val="24"/>
                <w14:textFill>
                  <w14:solidFill>
                    <w14:schemeClr w14:val="tx1"/>
                  </w14:solidFill>
                </w14:textFill>
              </w:rPr>
            </w:pPr>
          </w:p>
        </w:tc>
        <w:tc>
          <w:tcPr>
            <w:tcW w:w="5621"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《建筑施工场界噪声限值》</w:t>
            </w:r>
          </w:p>
        </w:tc>
        <w:tc>
          <w:tcPr>
            <w:tcW w:w="2386"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GB11523</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jc w:val="center"/>
        </w:trPr>
        <w:tc>
          <w:tcPr>
            <w:tcW w:w="651" w:type="dxa"/>
            <w:vMerge w:val="continue"/>
            <w:vAlign w:val="center"/>
          </w:tcPr>
          <w:p>
            <w:pPr>
              <w:rPr>
                <w:rFonts w:ascii="仿宋" w:hAnsi="仿宋" w:eastAsia="仿宋" w:cs="仿宋"/>
                <w:color w:val="000000" w:themeColor="text1"/>
                <w:sz w:val="24"/>
                <w:szCs w:val="24"/>
                <w14:textFill>
                  <w14:solidFill>
                    <w14:schemeClr w14:val="tx1"/>
                  </w14:solidFill>
                </w14:textFill>
              </w:rPr>
            </w:pPr>
          </w:p>
        </w:tc>
        <w:tc>
          <w:tcPr>
            <w:tcW w:w="5621"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《建筑施工场界噪声测量方法》</w:t>
            </w:r>
          </w:p>
        </w:tc>
        <w:tc>
          <w:tcPr>
            <w:tcW w:w="2386"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GB11524 </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jc w:val="center"/>
        </w:trPr>
        <w:tc>
          <w:tcPr>
            <w:tcW w:w="651" w:type="dxa"/>
            <w:vMerge w:val="continue"/>
            <w:vAlign w:val="center"/>
          </w:tcPr>
          <w:p>
            <w:pPr>
              <w:rPr>
                <w:rFonts w:ascii="仿宋" w:hAnsi="仿宋" w:eastAsia="仿宋" w:cs="仿宋"/>
                <w:color w:val="000000" w:themeColor="text1"/>
                <w:sz w:val="24"/>
                <w:szCs w:val="24"/>
                <w14:textFill>
                  <w14:solidFill>
                    <w14:schemeClr w14:val="tx1"/>
                  </w14:solidFill>
                </w14:textFill>
              </w:rPr>
            </w:pPr>
          </w:p>
        </w:tc>
        <w:tc>
          <w:tcPr>
            <w:tcW w:w="5621"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《施工升降机安全规则》</w:t>
            </w:r>
          </w:p>
        </w:tc>
        <w:tc>
          <w:tcPr>
            <w:tcW w:w="2386"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GB10055</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jc w:val="center"/>
        </w:trPr>
        <w:tc>
          <w:tcPr>
            <w:tcW w:w="651" w:type="dxa"/>
            <w:vMerge w:val="continue"/>
            <w:vAlign w:val="center"/>
          </w:tcPr>
          <w:p>
            <w:pPr>
              <w:rPr>
                <w:rFonts w:ascii="仿宋" w:hAnsi="仿宋" w:eastAsia="仿宋" w:cs="仿宋"/>
                <w:color w:val="000000" w:themeColor="text1"/>
                <w:sz w:val="24"/>
                <w:szCs w:val="24"/>
                <w14:textFill>
                  <w14:solidFill>
                    <w14:schemeClr w14:val="tx1"/>
                  </w14:solidFill>
                </w14:textFill>
              </w:rPr>
            </w:pPr>
          </w:p>
        </w:tc>
        <w:tc>
          <w:tcPr>
            <w:tcW w:w="5621"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《建设工程施工现场供用电安全规范》</w:t>
            </w:r>
          </w:p>
        </w:tc>
        <w:tc>
          <w:tcPr>
            <w:tcW w:w="2386"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GB50194</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33" w:hRule="atLeast"/>
          <w:jc w:val="center"/>
        </w:trPr>
        <w:tc>
          <w:tcPr>
            <w:tcW w:w="651" w:type="dxa"/>
            <w:vMerge w:val="continue"/>
            <w:vAlign w:val="center"/>
          </w:tcPr>
          <w:p>
            <w:pPr>
              <w:rPr>
                <w:rFonts w:ascii="仿宋" w:hAnsi="仿宋" w:eastAsia="仿宋" w:cs="仿宋"/>
                <w:color w:val="000000" w:themeColor="text1"/>
                <w:sz w:val="24"/>
                <w:szCs w:val="24"/>
                <w14:textFill>
                  <w14:solidFill>
                    <w14:schemeClr w14:val="tx1"/>
                  </w14:solidFill>
                </w14:textFill>
              </w:rPr>
            </w:pPr>
          </w:p>
        </w:tc>
        <w:tc>
          <w:tcPr>
            <w:tcW w:w="5621"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《装配式混凝土建筑技术标准》</w:t>
            </w:r>
          </w:p>
        </w:tc>
        <w:tc>
          <w:tcPr>
            <w:tcW w:w="2386"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GBT 51231</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33" w:hRule="atLeast"/>
          <w:jc w:val="center"/>
        </w:trPr>
        <w:tc>
          <w:tcPr>
            <w:tcW w:w="651" w:type="dxa"/>
            <w:vAlign w:val="center"/>
          </w:tcPr>
          <w:p>
            <w:pPr>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行业标准</w:t>
            </w:r>
          </w:p>
        </w:tc>
        <w:tc>
          <w:tcPr>
            <w:tcW w:w="5621"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《装配式混凝土结构技术规程》</w:t>
            </w:r>
          </w:p>
        </w:tc>
        <w:tc>
          <w:tcPr>
            <w:tcW w:w="2386" w:type="dxa"/>
            <w:vAlign w:val="center"/>
          </w:tcPr>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JGJ 1</w:t>
            </w:r>
          </w:p>
        </w:tc>
      </w:tr>
    </w:tbl>
    <w:p>
      <w:pPr>
        <w:pStyle w:val="2"/>
        <w:spacing w:before="156"/>
        <w:rPr>
          <w:rFonts w:hint="eastAsia"/>
        </w:rPr>
      </w:pPr>
      <w:r>
        <w:rPr>
          <w:rFonts w:hint="eastAsia"/>
        </w:rPr>
        <w:t>四、竞赛时间</w:t>
      </w:r>
    </w:p>
    <w:p>
      <w:pPr>
        <w:spacing w:line="360" w:lineRule="auto"/>
        <w:rPr>
          <w:rFonts w:ascii="仿宋" w:hAnsi="仿宋" w:eastAsia="仿宋" w:cs="Times New Roman"/>
          <w:kern w:val="0"/>
          <w:sz w:val="28"/>
          <w:szCs w:val="28"/>
        </w:rPr>
      </w:pPr>
      <w:r>
        <w:rPr>
          <w:rFonts w:hint="eastAsia" w:ascii="仿宋" w:hAnsi="仿宋" w:eastAsia="仿宋" w:cs="仿宋"/>
          <w:kern w:val="0"/>
          <w:sz w:val="28"/>
          <w:szCs w:val="28"/>
        </w:rPr>
        <w:t>本赛项各</w:t>
      </w:r>
      <w:r>
        <w:rPr>
          <w:rFonts w:hint="eastAsia" w:ascii="仿宋" w:hAnsi="仿宋" w:eastAsia="仿宋" w:cs="仿宋"/>
          <w:sz w:val="28"/>
          <w:szCs w:val="28"/>
        </w:rPr>
        <w:t>子项目竞赛</w:t>
      </w:r>
      <w:r>
        <w:rPr>
          <w:rFonts w:hint="eastAsia" w:ascii="仿宋" w:hAnsi="仿宋" w:eastAsia="仿宋" w:cs="仿宋"/>
          <w:kern w:val="0"/>
          <w:sz w:val="28"/>
          <w:szCs w:val="28"/>
        </w:rPr>
        <w:t>时间分配具体安排如下：</w:t>
      </w:r>
    </w:p>
    <w:tbl>
      <w:tblPr>
        <w:tblStyle w:val="8"/>
        <w:tblW w:w="86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650"/>
        <w:gridCol w:w="1064"/>
        <w:gridCol w:w="2145"/>
        <w:gridCol w:w="115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9" w:type="dxa"/>
            <w:vAlign w:val="center"/>
          </w:tcPr>
          <w:p>
            <w:pPr>
              <w:spacing w:line="360" w:lineRule="auto"/>
              <w:jc w:val="center"/>
              <w:rPr>
                <w:rFonts w:ascii="仿宋" w:hAnsi="仿宋" w:eastAsia="仿宋" w:cs="Times New Roman"/>
                <w:bCs/>
                <w:sz w:val="24"/>
                <w:szCs w:val="24"/>
              </w:rPr>
            </w:pPr>
            <w:r>
              <w:rPr>
                <w:rFonts w:hint="eastAsia" w:ascii="仿宋" w:hAnsi="仿宋" w:eastAsia="仿宋" w:cs="仿宋"/>
                <w:bCs/>
                <w:sz w:val="24"/>
                <w:szCs w:val="24"/>
              </w:rPr>
              <w:t>专项编号</w:t>
            </w:r>
          </w:p>
        </w:tc>
        <w:tc>
          <w:tcPr>
            <w:tcW w:w="1650" w:type="dxa"/>
            <w:vAlign w:val="center"/>
          </w:tcPr>
          <w:p>
            <w:pPr>
              <w:spacing w:line="360" w:lineRule="auto"/>
              <w:jc w:val="center"/>
              <w:rPr>
                <w:rFonts w:ascii="仿宋" w:hAnsi="仿宋" w:eastAsia="仿宋" w:cs="Times New Roman"/>
                <w:bCs/>
                <w:sz w:val="24"/>
                <w:szCs w:val="24"/>
              </w:rPr>
            </w:pPr>
            <w:r>
              <w:rPr>
                <w:rFonts w:hint="eastAsia" w:ascii="仿宋" w:hAnsi="仿宋" w:eastAsia="仿宋" w:cs="仿宋"/>
                <w:bCs/>
                <w:sz w:val="24"/>
                <w:szCs w:val="24"/>
              </w:rPr>
              <w:t>赛项名称</w:t>
            </w:r>
          </w:p>
        </w:tc>
        <w:tc>
          <w:tcPr>
            <w:tcW w:w="1064" w:type="dxa"/>
            <w:vAlign w:val="center"/>
          </w:tcPr>
          <w:p>
            <w:pPr>
              <w:spacing w:line="360" w:lineRule="auto"/>
              <w:jc w:val="center"/>
              <w:rPr>
                <w:rFonts w:ascii="仿宋" w:hAnsi="仿宋" w:eastAsia="仿宋" w:cs="Times New Roman"/>
                <w:bCs/>
                <w:sz w:val="24"/>
                <w:szCs w:val="24"/>
              </w:rPr>
            </w:pPr>
            <w:r>
              <w:rPr>
                <w:rFonts w:hint="eastAsia" w:ascii="仿宋" w:hAnsi="仿宋" w:eastAsia="仿宋" w:cs="仿宋"/>
                <w:bCs/>
                <w:sz w:val="24"/>
                <w:szCs w:val="24"/>
              </w:rPr>
              <w:t>属性</w:t>
            </w:r>
          </w:p>
        </w:tc>
        <w:tc>
          <w:tcPr>
            <w:tcW w:w="2145" w:type="dxa"/>
            <w:vAlign w:val="center"/>
          </w:tcPr>
          <w:p>
            <w:pPr>
              <w:spacing w:line="360" w:lineRule="auto"/>
              <w:jc w:val="center"/>
              <w:rPr>
                <w:rFonts w:ascii="仿宋" w:hAnsi="仿宋" w:eastAsia="仿宋" w:cs="Times New Roman"/>
                <w:bCs/>
                <w:sz w:val="24"/>
                <w:szCs w:val="24"/>
              </w:rPr>
            </w:pPr>
            <w:r>
              <w:rPr>
                <w:rFonts w:hint="eastAsia" w:ascii="仿宋" w:hAnsi="仿宋" w:eastAsia="仿宋" w:cs="仿宋"/>
                <w:bCs/>
                <w:sz w:val="24"/>
                <w:szCs w:val="24"/>
              </w:rPr>
              <w:t>子项名称</w:t>
            </w:r>
          </w:p>
        </w:tc>
        <w:tc>
          <w:tcPr>
            <w:tcW w:w="1155" w:type="dxa"/>
            <w:vAlign w:val="center"/>
          </w:tcPr>
          <w:p>
            <w:pPr>
              <w:spacing w:line="360" w:lineRule="auto"/>
              <w:jc w:val="center"/>
              <w:rPr>
                <w:rFonts w:ascii="仿宋" w:hAnsi="仿宋" w:eastAsia="仿宋" w:cs="Times New Roman"/>
                <w:bCs/>
                <w:spacing w:val="-12"/>
                <w:sz w:val="24"/>
                <w:szCs w:val="24"/>
              </w:rPr>
            </w:pPr>
            <w:r>
              <w:rPr>
                <w:rFonts w:hint="eastAsia" w:ascii="仿宋" w:hAnsi="仿宋" w:eastAsia="仿宋" w:cs="仿宋"/>
                <w:bCs/>
                <w:spacing w:val="-12"/>
                <w:sz w:val="24"/>
                <w:szCs w:val="24"/>
              </w:rPr>
              <w:t>时长</w:t>
            </w:r>
          </w:p>
          <w:p>
            <w:pPr>
              <w:spacing w:line="360" w:lineRule="auto"/>
              <w:jc w:val="center"/>
              <w:rPr>
                <w:rFonts w:ascii="仿宋" w:hAnsi="仿宋" w:eastAsia="仿宋" w:cs="Times New Roman"/>
                <w:bCs/>
                <w:spacing w:val="-12"/>
                <w:sz w:val="24"/>
                <w:szCs w:val="24"/>
              </w:rPr>
            </w:pPr>
            <w:r>
              <w:rPr>
                <w:rFonts w:hint="eastAsia" w:ascii="仿宋" w:hAnsi="仿宋" w:eastAsia="仿宋" w:cs="仿宋"/>
                <w:bCs/>
                <w:spacing w:val="-12"/>
                <w:sz w:val="24"/>
                <w:szCs w:val="24"/>
              </w:rPr>
              <w:t>（分钟）</w:t>
            </w:r>
          </w:p>
        </w:tc>
        <w:tc>
          <w:tcPr>
            <w:tcW w:w="1740" w:type="dxa"/>
            <w:vAlign w:val="center"/>
          </w:tcPr>
          <w:p>
            <w:pPr>
              <w:spacing w:line="360" w:lineRule="auto"/>
              <w:jc w:val="center"/>
              <w:rPr>
                <w:rFonts w:ascii="仿宋" w:hAnsi="仿宋" w:eastAsia="仿宋" w:cs="Times New Roman"/>
                <w:bCs/>
                <w:sz w:val="24"/>
                <w:szCs w:val="24"/>
              </w:rPr>
            </w:pPr>
            <w:r>
              <w:rPr>
                <w:rFonts w:hint="eastAsia" w:ascii="仿宋" w:hAnsi="仿宋" w:eastAsia="仿宋" w:cs="仿宋"/>
                <w:bCs/>
                <w:sz w:val="24"/>
                <w:szCs w:val="24"/>
              </w:rPr>
              <w:t>具体时间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859" w:type="dxa"/>
            <w:vAlign w:val="center"/>
          </w:tcPr>
          <w:p>
            <w:pPr>
              <w:spacing w:line="360" w:lineRule="auto"/>
              <w:jc w:val="center"/>
              <w:rPr>
                <w:rFonts w:ascii="仿宋" w:hAnsi="仿宋" w:eastAsia="仿宋" w:cs="仿宋"/>
                <w:bCs/>
                <w:sz w:val="24"/>
                <w:szCs w:val="24"/>
              </w:rPr>
            </w:pPr>
            <w:r>
              <w:rPr>
                <w:rFonts w:ascii="仿宋" w:hAnsi="仿宋" w:eastAsia="仿宋" w:cs="仿宋"/>
                <w:bCs/>
                <w:sz w:val="24"/>
                <w:szCs w:val="24"/>
              </w:rPr>
              <w:t>1</w:t>
            </w:r>
          </w:p>
        </w:tc>
        <w:tc>
          <w:tcPr>
            <w:tcW w:w="1650" w:type="dxa"/>
            <w:vMerge w:val="restart"/>
            <w:vAlign w:val="center"/>
          </w:tcPr>
          <w:p>
            <w:pPr>
              <w:spacing w:line="360" w:lineRule="auto"/>
              <w:jc w:val="center"/>
              <w:rPr>
                <w:rFonts w:ascii="仿宋" w:hAnsi="仿宋" w:eastAsia="仿宋" w:cs="Times New Roman"/>
                <w:bCs/>
                <w:kern w:val="0"/>
                <w:sz w:val="24"/>
                <w:szCs w:val="24"/>
              </w:rPr>
            </w:pPr>
            <w:r>
              <w:rPr>
                <w:rFonts w:hint="eastAsia" w:ascii="仿宋" w:hAnsi="仿宋" w:eastAsia="仿宋" w:cs="仿宋"/>
                <w:color w:val="000000" w:themeColor="text1"/>
                <w:sz w:val="24"/>
                <w:szCs w:val="24"/>
                <w14:textFill>
                  <w14:solidFill>
                    <w14:schemeClr w14:val="tx1"/>
                  </w14:solidFill>
                </w14:textFill>
              </w:rPr>
              <w:t>全国高职院校建筑施工工艺与管理技能竟赛</w:t>
            </w:r>
          </w:p>
        </w:tc>
        <w:tc>
          <w:tcPr>
            <w:tcW w:w="1064" w:type="dxa"/>
            <w:vAlign w:val="center"/>
          </w:tcPr>
          <w:p>
            <w:pPr>
              <w:spacing w:line="360" w:lineRule="auto"/>
              <w:jc w:val="center"/>
              <w:rPr>
                <w:rFonts w:ascii="仿宋" w:hAnsi="仿宋" w:eastAsia="仿宋" w:cs="Times New Roman"/>
                <w:bCs/>
                <w:kern w:val="0"/>
                <w:sz w:val="24"/>
                <w:szCs w:val="24"/>
              </w:rPr>
            </w:pPr>
            <w:r>
              <w:rPr>
                <w:rFonts w:hint="eastAsia" w:ascii="仿宋" w:hAnsi="仿宋" w:eastAsia="仿宋" w:cs="仿宋"/>
                <w:bCs/>
                <w:kern w:val="0"/>
                <w:sz w:val="24"/>
                <w:szCs w:val="24"/>
              </w:rPr>
              <w:t>知识</w:t>
            </w:r>
          </w:p>
        </w:tc>
        <w:tc>
          <w:tcPr>
            <w:tcW w:w="2145" w:type="dxa"/>
            <w:vAlign w:val="center"/>
          </w:tcPr>
          <w:p>
            <w:pPr>
              <w:spacing w:line="360" w:lineRule="auto"/>
              <w:jc w:val="center"/>
              <w:rPr>
                <w:rFonts w:ascii="仿宋" w:hAnsi="仿宋" w:eastAsia="仿宋" w:cs="Times New Roman"/>
                <w:bCs/>
                <w:kern w:val="0"/>
                <w:sz w:val="24"/>
                <w:szCs w:val="24"/>
              </w:rPr>
            </w:pPr>
            <w:r>
              <w:rPr>
                <w:rFonts w:hint="eastAsia" w:ascii="仿宋" w:hAnsi="仿宋" w:eastAsia="仿宋" w:cs="仿宋"/>
                <w:bCs/>
                <w:kern w:val="0"/>
                <w:sz w:val="24"/>
                <w:szCs w:val="24"/>
              </w:rPr>
              <w:t>建筑工程专业知识问答</w:t>
            </w:r>
          </w:p>
        </w:tc>
        <w:tc>
          <w:tcPr>
            <w:tcW w:w="1155" w:type="dxa"/>
            <w:vAlign w:val="center"/>
          </w:tcPr>
          <w:p>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120</w:t>
            </w:r>
          </w:p>
        </w:tc>
        <w:tc>
          <w:tcPr>
            <w:tcW w:w="1740" w:type="dxa"/>
            <w:vAlign w:val="center"/>
          </w:tcPr>
          <w:p>
            <w:pPr>
              <w:spacing w:line="360" w:lineRule="auto"/>
              <w:jc w:val="center"/>
              <w:rPr>
                <w:rFonts w:ascii="仿宋" w:hAnsi="仿宋" w:eastAsia="仿宋" w:cs="仿宋"/>
                <w:bCs/>
                <w:kern w:val="0"/>
                <w:sz w:val="24"/>
                <w:szCs w:val="24"/>
              </w:rPr>
            </w:pPr>
            <w:r>
              <w:rPr>
                <w:rFonts w:ascii="仿宋" w:hAnsi="仿宋" w:eastAsia="仿宋" w:cs="仿宋"/>
                <w:bCs/>
                <w:kern w:val="0"/>
                <w:sz w:val="24"/>
                <w:szCs w:val="24"/>
              </w:rPr>
              <w:t>09:50-11:50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7" w:hRule="atLeast"/>
          <w:jc w:val="center"/>
        </w:trPr>
        <w:tc>
          <w:tcPr>
            <w:tcW w:w="859" w:type="dxa"/>
            <w:vAlign w:val="center"/>
          </w:tcPr>
          <w:p>
            <w:pPr>
              <w:spacing w:line="360" w:lineRule="auto"/>
              <w:jc w:val="center"/>
              <w:rPr>
                <w:rFonts w:ascii="仿宋" w:hAnsi="仿宋" w:eastAsia="仿宋" w:cs="仿宋"/>
                <w:bCs/>
                <w:sz w:val="24"/>
                <w:szCs w:val="24"/>
              </w:rPr>
            </w:pPr>
            <w:r>
              <w:rPr>
                <w:rFonts w:ascii="仿宋" w:hAnsi="仿宋" w:eastAsia="仿宋" w:cs="仿宋"/>
                <w:bCs/>
                <w:sz w:val="24"/>
                <w:szCs w:val="24"/>
              </w:rPr>
              <w:t>2</w:t>
            </w:r>
          </w:p>
        </w:tc>
        <w:tc>
          <w:tcPr>
            <w:tcW w:w="1650" w:type="dxa"/>
            <w:vMerge w:val="continue"/>
            <w:vAlign w:val="center"/>
          </w:tcPr>
          <w:p>
            <w:pPr>
              <w:spacing w:line="360" w:lineRule="auto"/>
              <w:jc w:val="center"/>
              <w:rPr>
                <w:rFonts w:ascii="仿宋" w:hAnsi="仿宋" w:eastAsia="仿宋" w:cs="Times New Roman"/>
                <w:bCs/>
                <w:kern w:val="0"/>
                <w:sz w:val="24"/>
                <w:szCs w:val="24"/>
              </w:rPr>
            </w:pPr>
          </w:p>
        </w:tc>
        <w:tc>
          <w:tcPr>
            <w:tcW w:w="1064" w:type="dxa"/>
            <w:vAlign w:val="center"/>
          </w:tcPr>
          <w:p>
            <w:pPr>
              <w:spacing w:line="360" w:lineRule="auto"/>
              <w:jc w:val="center"/>
              <w:rPr>
                <w:rFonts w:ascii="仿宋" w:hAnsi="仿宋" w:eastAsia="仿宋" w:cs="Times New Roman"/>
                <w:bCs/>
                <w:kern w:val="0"/>
                <w:sz w:val="24"/>
                <w:szCs w:val="24"/>
              </w:rPr>
            </w:pPr>
            <w:r>
              <w:rPr>
                <w:rFonts w:hint="eastAsia" w:ascii="仿宋" w:hAnsi="仿宋" w:eastAsia="仿宋" w:cs="仿宋"/>
                <w:bCs/>
                <w:kern w:val="0"/>
                <w:sz w:val="24"/>
                <w:szCs w:val="24"/>
              </w:rPr>
              <w:t>技能</w:t>
            </w:r>
          </w:p>
        </w:tc>
        <w:tc>
          <w:tcPr>
            <w:tcW w:w="2145" w:type="dxa"/>
            <w:vAlign w:val="center"/>
          </w:tcPr>
          <w:p>
            <w:pPr>
              <w:spacing w:line="360" w:lineRule="auto"/>
              <w:jc w:val="center"/>
              <w:rPr>
                <w:rFonts w:ascii="仿宋" w:hAnsi="仿宋" w:eastAsia="仿宋" w:cs="Times New Roman"/>
                <w:bCs/>
                <w:kern w:val="0"/>
                <w:sz w:val="24"/>
                <w:szCs w:val="24"/>
              </w:rPr>
            </w:pPr>
            <w:r>
              <w:rPr>
                <w:rFonts w:hint="eastAsia" w:ascii="仿宋" w:hAnsi="仿宋" w:eastAsia="仿宋" w:cs="仿宋"/>
                <w:color w:val="000000" w:themeColor="text1"/>
                <w:sz w:val="24"/>
                <w:szCs w:val="24"/>
                <w14:textFill>
                  <w14:solidFill>
                    <w14:schemeClr w14:val="tx1"/>
                  </w14:solidFill>
                </w14:textFill>
              </w:rPr>
              <w:t>建筑工程施工工艺模拟实操</w:t>
            </w:r>
          </w:p>
        </w:tc>
        <w:tc>
          <w:tcPr>
            <w:tcW w:w="1155" w:type="dxa"/>
            <w:vAlign w:val="center"/>
          </w:tcPr>
          <w:p>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120</w:t>
            </w:r>
          </w:p>
        </w:tc>
        <w:tc>
          <w:tcPr>
            <w:tcW w:w="1740" w:type="dxa"/>
            <w:vAlign w:val="center"/>
          </w:tcPr>
          <w:p>
            <w:pPr>
              <w:spacing w:line="360" w:lineRule="auto"/>
              <w:jc w:val="center"/>
              <w:rPr>
                <w:rFonts w:ascii="仿宋" w:hAnsi="仿宋" w:eastAsia="仿宋" w:cs="仿宋"/>
                <w:bCs/>
                <w:kern w:val="0"/>
                <w:sz w:val="24"/>
                <w:szCs w:val="24"/>
              </w:rPr>
            </w:pPr>
            <w:r>
              <w:rPr>
                <w:rFonts w:ascii="仿宋" w:hAnsi="仿宋" w:eastAsia="仿宋" w:cs="仿宋"/>
                <w:bCs/>
                <w:kern w:val="0"/>
                <w:sz w:val="24"/>
                <w:szCs w:val="24"/>
              </w:rPr>
              <w:t>13:50-15:50</w:t>
            </w:r>
          </w:p>
        </w:tc>
      </w:tr>
    </w:tbl>
    <w:p>
      <w:pPr>
        <w:rPr>
          <w:rFonts w:hint="eastAsia"/>
        </w:rPr>
      </w:pPr>
    </w:p>
    <w:p>
      <w:pPr>
        <w:pStyle w:val="2"/>
        <w:spacing w:before="156"/>
        <w:rPr>
          <w:rFonts w:cs="Times New Roman"/>
        </w:rPr>
      </w:pPr>
      <w:r>
        <w:rPr>
          <w:rFonts w:hint="eastAsia"/>
        </w:rPr>
        <w:t>五、竞赛场地及设备配置</w:t>
      </w:r>
    </w:p>
    <w:p>
      <w:pPr>
        <w:autoSpaceDE w:val="0"/>
        <w:autoSpaceDN w:val="0"/>
        <w:adjustRightInd w:val="0"/>
        <w:spacing w:line="48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（一）场地及设备</w:t>
      </w:r>
    </w:p>
    <w:p>
      <w:pPr>
        <w:autoSpaceDE w:val="0"/>
        <w:autoSpaceDN w:val="0"/>
        <w:adjustRightInd w:val="0"/>
        <w:spacing w:line="48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1、竞赛平台软件：本赛项考试平台为西安三好软件技术股份有限公司研发的在线考试平台大赛竞赛系统和建筑施工工艺交底与管理平台及建筑装配式教学实训平台。</w:t>
      </w:r>
    </w:p>
    <w:p>
      <w:pPr>
        <w:autoSpaceDE w:val="0"/>
        <w:autoSpaceDN w:val="0"/>
        <w:adjustRightInd w:val="0"/>
        <w:spacing w:line="48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2.竞赛场地</w:t>
      </w:r>
    </w:p>
    <w:p>
      <w:pPr>
        <w:autoSpaceDE w:val="0"/>
        <w:autoSpaceDN w:val="0"/>
        <w:adjustRightInd w:val="0"/>
        <w:spacing w:line="48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竞赛场地要求在相关承办院校室内体育场馆、计算机中心等场所，预留安全疏散通道。场地内强电、网络等设施能够满足竞</w:t>
      </w:r>
    </w:p>
    <w:p>
      <w:pPr>
        <w:autoSpaceDE w:val="0"/>
        <w:autoSpaceDN w:val="0"/>
        <w:adjustRightInd w:val="0"/>
        <w:spacing w:line="480" w:lineRule="exact"/>
        <w:ind w:firstLine="560" w:firstLineChars="200"/>
        <w:rPr>
          <w:rFonts w:ascii="仿宋" w:hAnsi="仿宋" w:eastAsia="仿宋" w:cs="Times New Roman"/>
          <w:kern w:val="0"/>
          <w:sz w:val="28"/>
          <w:szCs w:val="28"/>
        </w:rPr>
      </w:pPr>
      <w:r>
        <w:rPr>
          <w:rStyle w:val="12"/>
          <w:rFonts w:hint="eastAsia"/>
          <w:b w:val="0"/>
          <w:sz w:val="28"/>
          <w:szCs w:val="28"/>
        </w:rPr>
        <w:t>3</w:t>
      </w:r>
      <w:r>
        <w:rPr>
          <w:rStyle w:val="12"/>
          <w:b w:val="0"/>
          <w:sz w:val="28"/>
          <w:szCs w:val="28"/>
        </w:rPr>
        <w:t>.</w:t>
      </w:r>
      <w:r>
        <w:rPr>
          <w:rFonts w:hint="eastAsia" w:ascii="仿宋" w:hAnsi="仿宋" w:eastAsia="仿宋" w:cs="仿宋"/>
          <w:kern w:val="0"/>
          <w:sz w:val="28"/>
          <w:szCs w:val="28"/>
        </w:rPr>
        <w:t>竞赛设施</w:t>
      </w:r>
    </w:p>
    <w:p>
      <w:pPr>
        <w:autoSpaceDE w:val="0"/>
        <w:autoSpaceDN w:val="0"/>
        <w:adjustRightInd w:val="0"/>
        <w:spacing w:line="48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长方桌、椅子、电源、局域网</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4.计算机及硬件配置建议</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竞赛电脑：CPU I5 以上；8G内存以上；独立显卡（2G显存）；固态硬盘250G 以上；</w:t>
      </w:r>
    </w:p>
    <w:p>
      <w:pPr>
        <w:snapToGrid w:val="0"/>
        <w:spacing w:line="560" w:lineRule="exact"/>
        <w:ind w:firstLine="560" w:firstLineChars="200"/>
        <w:rPr>
          <w:rFonts w:hint="eastAsia" w:ascii="仿宋" w:hAnsi="仿宋" w:eastAsia="仿宋" w:cs="Times New Roman"/>
          <w:kern w:val="0"/>
          <w:sz w:val="28"/>
          <w:szCs w:val="28"/>
        </w:rPr>
      </w:pPr>
      <w:r>
        <w:rPr>
          <w:rFonts w:hint="eastAsia" w:ascii="仿宋" w:hAnsi="仿宋" w:eastAsia="仿宋" w:cs="Times New Roman"/>
          <w:kern w:val="0"/>
          <w:sz w:val="28"/>
          <w:szCs w:val="28"/>
        </w:rPr>
        <w:t>竞赛系统服务器：服务器 CPU 至强 4核 2GHZ 以上，RAM 8G以上，双硬盘：500G以上。</w:t>
      </w:r>
    </w:p>
    <w:p>
      <w:pPr>
        <w:snapToGrid w:val="0"/>
        <w:spacing w:line="560" w:lineRule="exact"/>
        <w:ind w:firstLine="560" w:firstLineChars="200"/>
        <w:rPr>
          <w:rFonts w:hint="eastAsia" w:ascii="仿宋" w:hAnsi="仿宋" w:eastAsia="仿宋" w:cs="Times New Roman"/>
          <w:kern w:val="0"/>
          <w:sz w:val="28"/>
          <w:szCs w:val="28"/>
        </w:rPr>
      </w:pPr>
      <w:r>
        <w:rPr>
          <w:rFonts w:hint="eastAsia" w:ascii="仿宋" w:hAnsi="仿宋" w:eastAsia="仿宋" w:cs="Times New Roman"/>
          <w:kern w:val="0"/>
          <w:sz w:val="28"/>
          <w:szCs w:val="28"/>
        </w:rPr>
        <w:t>（二）安全保障</w:t>
      </w:r>
    </w:p>
    <w:p>
      <w:pPr>
        <w:snapToGrid w:val="0"/>
        <w:spacing w:line="560" w:lineRule="exact"/>
        <w:ind w:firstLine="560" w:firstLineChars="200"/>
        <w:rPr>
          <w:rFonts w:hint="eastAsia" w:ascii="仿宋" w:hAnsi="仿宋" w:eastAsia="仿宋" w:cs="Times New Roman"/>
          <w:kern w:val="0"/>
          <w:sz w:val="28"/>
          <w:szCs w:val="28"/>
        </w:rPr>
      </w:pPr>
      <w:r>
        <w:rPr>
          <w:rFonts w:hint="eastAsia" w:ascii="仿宋" w:hAnsi="仿宋" w:eastAsia="仿宋" w:cs="Times New Roman"/>
          <w:kern w:val="0"/>
          <w:sz w:val="28"/>
          <w:szCs w:val="28"/>
        </w:rPr>
        <w:t>为保证大赛顺利正常进行，大赛期间，为学生和带队老师购买人身意外保险。同时作如下方式控制和操作：</w:t>
      </w:r>
    </w:p>
    <w:p>
      <w:pPr>
        <w:snapToGrid w:val="0"/>
        <w:spacing w:line="560" w:lineRule="exact"/>
        <w:ind w:firstLine="560" w:firstLineChars="200"/>
        <w:rPr>
          <w:rFonts w:hint="eastAsia" w:ascii="仿宋" w:hAnsi="仿宋" w:eastAsia="仿宋" w:cs="Times New Roman"/>
          <w:kern w:val="0"/>
          <w:sz w:val="28"/>
          <w:szCs w:val="28"/>
        </w:rPr>
      </w:pPr>
      <w:r>
        <w:rPr>
          <w:rFonts w:hint="eastAsia" w:ascii="仿宋" w:hAnsi="仿宋" w:eastAsia="仿宋" w:cs="Times New Roman"/>
          <w:kern w:val="0"/>
          <w:sz w:val="28"/>
          <w:szCs w:val="28"/>
        </w:rPr>
        <w:t>1.赛场的布置，赛场内的器材、设备，应符合国家有关安全规定；</w:t>
      </w:r>
    </w:p>
    <w:p>
      <w:pPr>
        <w:snapToGrid w:val="0"/>
        <w:spacing w:line="560" w:lineRule="exact"/>
        <w:ind w:firstLine="560" w:firstLineChars="200"/>
        <w:rPr>
          <w:rFonts w:hint="eastAsia" w:ascii="仿宋" w:hAnsi="仿宋" w:eastAsia="仿宋" w:cs="Times New Roman"/>
          <w:kern w:val="0"/>
          <w:sz w:val="28"/>
          <w:szCs w:val="28"/>
        </w:rPr>
      </w:pPr>
      <w:r>
        <w:rPr>
          <w:rFonts w:hint="eastAsia" w:ascii="仿宋" w:hAnsi="仿宋" w:eastAsia="仿宋" w:cs="Times New Roman"/>
          <w:kern w:val="0"/>
          <w:sz w:val="28"/>
          <w:szCs w:val="28"/>
        </w:rPr>
        <w:t>2.大赛现场设置警戒线，不准闲杂人员进出赛场；</w:t>
      </w:r>
    </w:p>
    <w:p>
      <w:pPr>
        <w:snapToGrid w:val="0"/>
        <w:spacing w:line="560" w:lineRule="exact"/>
        <w:ind w:firstLine="560" w:firstLineChars="200"/>
        <w:rPr>
          <w:rFonts w:hint="eastAsia" w:ascii="仿宋" w:hAnsi="仿宋" w:eastAsia="仿宋" w:cs="Times New Roman"/>
          <w:kern w:val="0"/>
          <w:sz w:val="28"/>
          <w:szCs w:val="28"/>
        </w:rPr>
      </w:pPr>
      <w:r>
        <w:rPr>
          <w:rFonts w:hint="eastAsia" w:ascii="仿宋" w:hAnsi="仿宋" w:eastAsia="仿宋" w:cs="Times New Roman"/>
          <w:kern w:val="0"/>
          <w:sz w:val="28"/>
          <w:szCs w:val="28"/>
        </w:rPr>
        <w:t>3.做好大赛指南，指明大赛地点和报到地点。</w:t>
      </w:r>
    </w:p>
    <w:p>
      <w:pPr>
        <w:snapToGrid w:val="0"/>
        <w:spacing w:line="560" w:lineRule="exact"/>
        <w:ind w:firstLine="560" w:firstLineChars="200"/>
        <w:rPr>
          <w:rFonts w:hint="eastAsia" w:ascii="仿宋" w:hAnsi="仿宋" w:eastAsia="仿宋" w:cs="Times New Roman"/>
          <w:kern w:val="0"/>
          <w:sz w:val="28"/>
          <w:szCs w:val="28"/>
        </w:rPr>
      </w:pPr>
      <w:r>
        <w:rPr>
          <w:rFonts w:hint="eastAsia" w:ascii="仿宋" w:hAnsi="仿宋" w:eastAsia="仿宋" w:cs="Times New Roman"/>
          <w:kern w:val="0"/>
          <w:sz w:val="28"/>
          <w:szCs w:val="28"/>
        </w:rPr>
        <w:t>4.赛场严禁携带通讯、照相摄录设备进入。赛场配置安检设备，对进入赛场重要区域的人员进行安检，在赛场相关区域安放无线屏蔽设备；</w:t>
      </w:r>
    </w:p>
    <w:p>
      <w:pPr>
        <w:snapToGrid w:val="0"/>
        <w:spacing w:line="560" w:lineRule="exact"/>
        <w:ind w:firstLine="560" w:firstLineChars="200"/>
        <w:rPr>
          <w:rFonts w:hint="eastAsia" w:ascii="仿宋" w:hAnsi="仿宋" w:eastAsia="仿宋" w:cs="Times New Roman"/>
          <w:kern w:val="0"/>
          <w:sz w:val="28"/>
          <w:szCs w:val="28"/>
        </w:rPr>
      </w:pPr>
      <w:r>
        <w:rPr>
          <w:rFonts w:hint="eastAsia" w:ascii="仿宋" w:hAnsi="仿宋" w:eastAsia="仿宋" w:cs="Times New Roman"/>
          <w:kern w:val="0"/>
          <w:sz w:val="28"/>
          <w:szCs w:val="28"/>
        </w:rPr>
        <w:t>5.安排参赛师生酒店选择离主赛场近的地方，尽量集中，住宿酒店选择知名品牌酒店，保证参赛师生的吃住卫生和安全；还应充分尊重少数民族参赛人员的宗教信仰及文化习俗，根据国家相关的民族、宗教政策，安排好少数民族参赛师生和有关人员的饮食起居；</w:t>
      </w:r>
    </w:p>
    <w:p>
      <w:pPr>
        <w:snapToGrid w:val="0"/>
        <w:spacing w:line="560" w:lineRule="exact"/>
        <w:ind w:firstLine="560" w:firstLineChars="200"/>
        <w:rPr>
          <w:rFonts w:hint="eastAsia" w:ascii="仿宋" w:hAnsi="仿宋" w:eastAsia="仿宋" w:cs="Times New Roman"/>
          <w:kern w:val="0"/>
          <w:sz w:val="28"/>
          <w:szCs w:val="28"/>
        </w:rPr>
      </w:pPr>
      <w:r>
        <w:rPr>
          <w:rFonts w:hint="eastAsia" w:ascii="仿宋" w:hAnsi="仿宋" w:eastAsia="仿宋" w:cs="Times New Roman"/>
          <w:kern w:val="0"/>
          <w:sz w:val="28"/>
          <w:szCs w:val="28"/>
        </w:rPr>
        <w:t>6.安排专门的就医场所、报警点；</w:t>
      </w:r>
    </w:p>
    <w:p>
      <w:pPr>
        <w:snapToGrid w:val="0"/>
        <w:spacing w:line="560" w:lineRule="exact"/>
        <w:ind w:firstLine="560" w:firstLineChars="200"/>
        <w:rPr>
          <w:rFonts w:hint="eastAsia" w:ascii="仿宋" w:hAnsi="仿宋" w:eastAsia="仿宋" w:cs="Times New Roman"/>
          <w:kern w:val="0"/>
          <w:sz w:val="28"/>
          <w:szCs w:val="28"/>
        </w:rPr>
      </w:pPr>
      <w:r>
        <w:rPr>
          <w:rFonts w:hint="eastAsia" w:ascii="仿宋" w:hAnsi="仿宋" w:eastAsia="仿宋" w:cs="Times New Roman"/>
          <w:kern w:val="0"/>
          <w:sz w:val="28"/>
          <w:szCs w:val="28"/>
        </w:rPr>
        <w:t>7.大赛现场做好防暑、保暖措施工作，保证赛事顺利进行；</w:t>
      </w:r>
    </w:p>
    <w:p>
      <w:pPr>
        <w:snapToGrid w:val="0"/>
        <w:spacing w:line="560" w:lineRule="exact"/>
        <w:ind w:firstLine="560" w:firstLineChars="200"/>
        <w:rPr>
          <w:rFonts w:hint="eastAsia" w:ascii="仿宋" w:hAnsi="仿宋" w:eastAsia="仿宋" w:cs="Times New Roman"/>
          <w:kern w:val="0"/>
          <w:sz w:val="28"/>
          <w:szCs w:val="28"/>
        </w:rPr>
      </w:pPr>
      <w:r>
        <w:rPr>
          <w:rFonts w:hint="eastAsia" w:ascii="仿宋" w:hAnsi="仿宋" w:eastAsia="仿宋" w:cs="Times New Roman"/>
          <w:kern w:val="0"/>
          <w:sz w:val="28"/>
          <w:szCs w:val="28"/>
        </w:rPr>
        <w:t>8.现场的临时电源线均用固线管套加固防护，均敷设接地电线，防止学生触电；</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9.大赛现场均设置指示牌，警示牌等。</w:t>
      </w:r>
    </w:p>
    <w:p>
      <w:pPr>
        <w:pStyle w:val="2"/>
        <w:spacing w:before="156"/>
        <w:rPr>
          <w:rFonts w:cs="Times New Roman"/>
        </w:rPr>
      </w:pPr>
      <w:r>
        <w:rPr>
          <w:rFonts w:hint="eastAsia"/>
        </w:rPr>
        <w:t>六、竞赛方式</w:t>
      </w:r>
    </w:p>
    <w:p>
      <w:pPr>
        <w:pStyle w:val="15"/>
        <w:numPr>
          <w:ilvl w:val="0"/>
          <w:numId w:val="1"/>
        </w:numPr>
        <w:spacing w:line="480" w:lineRule="exact"/>
        <w:ind w:left="-278" w:firstLine="425" w:firstLineChars="0"/>
        <w:rPr>
          <w:rFonts w:ascii="仿宋" w:hAnsi="仿宋" w:eastAsia="仿宋" w:cs="Times New Roman"/>
          <w:kern w:val="0"/>
          <w:sz w:val="28"/>
          <w:szCs w:val="28"/>
        </w:rPr>
      </w:pPr>
      <w:r>
        <w:rPr>
          <w:rFonts w:hint="eastAsia" w:ascii="仿宋" w:hAnsi="仿宋" w:eastAsia="仿宋" w:cs="Times New Roman"/>
          <w:kern w:val="0"/>
          <w:sz w:val="28"/>
          <w:szCs w:val="28"/>
        </w:rPr>
        <w:t>竞赛以团队合作的方式进行，不计选手个人成绩，统计竞赛队的总成绩进行排序。</w:t>
      </w:r>
    </w:p>
    <w:p>
      <w:pPr>
        <w:pStyle w:val="15"/>
        <w:numPr>
          <w:ilvl w:val="0"/>
          <w:numId w:val="1"/>
        </w:numPr>
        <w:spacing w:line="480" w:lineRule="exact"/>
        <w:ind w:left="-278" w:firstLine="425" w:firstLineChars="0"/>
        <w:rPr>
          <w:rFonts w:ascii="仿宋" w:hAnsi="仿宋" w:eastAsia="仿宋" w:cs="Times New Roman"/>
          <w:kern w:val="0"/>
          <w:sz w:val="28"/>
          <w:szCs w:val="28"/>
        </w:rPr>
      </w:pPr>
      <w:r>
        <w:rPr>
          <w:rFonts w:hint="eastAsia" w:ascii="仿宋" w:hAnsi="仿宋" w:eastAsia="仿宋" w:cs="Times New Roman"/>
          <w:kern w:val="0"/>
          <w:sz w:val="28"/>
          <w:szCs w:val="28"/>
        </w:rPr>
        <w:t>竞赛队伍组成</w:t>
      </w:r>
    </w:p>
    <w:p>
      <w:pPr>
        <w:autoSpaceDE w:val="0"/>
        <w:autoSpaceDN w:val="0"/>
        <w:adjustRightInd w:val="0"/>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1.</w:t>
      </w:r>
      <w:r>
        <w:rPr>
          <w:rFonts w:hint="eastAsia" w:ascii="仿宋" w:hAnsi="仿宋" w:eastAsia="仿宋" w:cs="Times New Roman"/>
          <w:kern w:val="0"/>
          <w:sz w:val="28"/>
          <w:szCs w:val="28"/>
        </w:rPr>
        <w:t>参赛团队：学生须以团队为单位进行报名参加比赛，每个团队限报3名参赛选手和2名指导教师组成，参赛选手为同一学校，每个学校限3个以下（含3个）参赛队</w:t>
      </w:r>
      <w:r>
        <w:rPr>
          <w:rFonts w:hint="eastAsia" w:ascii="仿宋" w:hAnsi="仿宋" w:eastAsia="仿宋" w:cs="Times New Roman"/>
          <w:kern w:val="0"/>
          <w:sz w:val="28"/>
          <w:szCs w:val="28"/>
        </w:rPr>
        <w:tab/>
      </w:r>
      <w:r>
        <w:rPr>
          <w:rFonts w:hint="eastAsia" w:ascii="仿宋" w:hAnsi="仿宋" w:eastAsia="仿宋" w:cs="Times New Roman"/>
          <w:kern w:val="0"/>
          <w:sz w:val="28"/>
          <w:szCs w:val="28"/>
        </w:rPr>
        <w:t>，参赛选手将以团队为单位进行比赛，最终成绩会以团队为单位进行排名。</w:t>
      </w:r>
    </w:p>
    <w:p>
      <w:pPr>
        <w:adjustRightInd w:val="0"/>
        <w:snapToGrid w:val="0"/>
        <w:spacing w:line="560" w:lineRule="exact"/>
        <w:ind w:firstLine="560" w:firstLineChars="200"/>
        <w:outlineLvl w:val="0"/>
        <w:rPr>
          <w:rFonts w:ascii="仿宋" w:hAnsi="仿宋" w:eastAsia="仿宋" w:cs="Times New Roman"/>
          <w:kern w:val="0"/>
          <w:sz w:val="28"/>
          <w:szCs w:val="28"/>
        </w:rPr>
      </w:pPr>
      <w:r>
        <w:rPr>
          <w:rFonts w:ascii="仿宋" w:hAnsi="仿宋" w:eastAsia="仿宋" w:cs="Times New Roman"/>
          <w:kern w:val="0"/>
          <w:sz w:val="28"/>
          <w:szCs w:val="28"/>
        </w:rPr>
        <w:t>2.</w:t>
      </w:r>
      <w:r>
        <w:rPr>
          <w:rFonts w:hint="eastAsia" w:ascii="仿宋" w:hAnsi="仿宋" w:eastAsia="仿宋" w:cs="Times New Roman"/>
          <w:kern w:val="0"/>
          <w:sz w:val="28"/>
          <w:szCs w:val="28"/>
        </w:rPr>
        <w:t>参赛选手：应为高职院校在籍学生，性别不限。</w:t>
      </w:r>
    </w:p>
    <w:p>
      <w:pPr>
        <w:pStyle w:val="15"/>
        <w:spacing w:line="480" w:lineRule="exact"/>
        <w:ind w:firstLine="560"/>
        <w:rPr>
          <w:rFonts w:ascii="仿宋" w:hAnsi="仿宋" w:eastAsia="仿宋" w:cs="Times New Roman"/>
          <w:kern w:val="0"/>
          <w:sz w:val="28"/>
          <w:szCs w:val="28"/>
        </w:rPr>
      </w:pPr>
      <w:r>
        <w:rPr>
          <w:rFonts w:hint="eastAsia" w:ascii="仿宋" w:hAnsi="仿宋" w:eastAsia="仿宋" w:cs="Times New Roman"/>
          <w:kern w:val="0"/>
          <w:sz w:val="28"/>
          <w:szCs w:val="28"/>
        </w:rPr>
        <w:t>参赛选手经报名确认后，原则上不得更换。如在备赛过程中参赛选手因故无法参赛，须由参赛学校出具书面说明与申请，经竞赛组委会核实同意后后予以替换；参赛选手报到、检录后，不再更换。</w:t>
      </w:r>
    </w:p>
    <w:p>
      <w:pPr>
        <w:tabs>
          <w:tab w:val="left" w:pos="3600"/>
        </w:tabs>
        <w:adjustRightInd w:val="0"/>
        <w:snapToGrid w:val="0"/>
        <w:spacing w:line="560" w:lineRule="exact"/>
        <w:ind w:firstLine="560" w:firstLineChars="200"/>
        <w:outlineLvl w:val="0"/>
        <w:rPr>
          <w:rFonts w:hint="eastAsia" w:ascii="仿宋" w:hAnsi="仿宋" w:eastAsia="仿宋" w:cs="Times New Roman"/>
          <w:kern w:val="0"/>
          <w:sz w:val="28"/>
          <w:szCs w:val="28"/>
        </w:rPr>
      </w:pPr>
      <w:r>
        <w:rPr>
          <w:rFonts w:hint="eastAsia" w:ascii="仿宋" w:hAnsi="仿宋" w:eastAsia="仿宋" w:cs="Times New Roman"/>
          <w:kern w:val="0"/>
          <w:sz w:val="28"/>
          <w:szCs w:val="28"/>
        </w:rPr>
        <w:t>3.各院校自行组织选拔赛，报名院校需参加校内预赛选拔。</w:t>
      </w:r>
    </w:p>
    <w:p>
      <w:pPr>
        <w:tabs>
          <w:tab w:val="left" w:pos="3600"/>
        </w:tabs>
        <w:adjustRightInd w:val="0"/>
        <w:snapToGrid w:val="0"/>
        <w:spacing w:line="560" w:lineRule="exact"/>
        <w:ind w:firstLine="560" w:firstLineChars="200"/>
        <w:outlineLvl w:val="0"/>
        <w:rPr>
          <w:rFonts w:ascii="仿宋" w:hAnsi="仿宋" w:eastAsia="仿宋" w:cs="Times New Roman"/>
          <w:kern w:val="0"/>
          <w:sz w:val="28"/>
          <w:szCs w:val="28"/>
        </w:rPr>
      </w:pPr>
      <w:r>
        <w:rPr>
          <w:rFonts w:hint="eastAsia" w:ascii="仿宋" w:hAnsi="仿宋" w:eastAsia="仿宋" w:cs="Times New Roman"/>
          <w:kern w:val="0"/>
          <w:sz w:val="28"/>
          <w:szCs w:val="28"/>
        </w:rPr>
        <w:t>4.本赛项不邀请境外代表队参赛。</w:t>
      </w:r>
    </w:p>
    <w:p>
      <w:pPr>
        <w:pStyle w:val="2"/>
        <w:spacing w:before="156"/>
        <w:rPr>
          <w:rFonts w:cs="Times New Roman"/>
        </w:rPr>
      </w:pPr>
      <w:r>
        <w:rPr>
          <w:rFonts w:hint="eastAsia"/>
        </w:rPr>
        <w:t>七、竞赛命题</w:t>
      </w:r>
    </w:p>
    <w:p>
      <w:pPr>
        <w:pStyle w:val="16"/>
        <w:numPr>
          <w:ilvl w:val="0"/>
          <w:numId w:val="2"/>
        </w:numPr>
        <w:spacing w:line="560" w:lineRule="exact"/>
        <w:ind w:left="0" w:firstLine="565" w:firstLineChars="202"/>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选择题（150分）：</w:t>
      </w:r>
    </w:p>
    <w:p>
      <w:pPr>
        <w:snapToGrid w:val="0"/>
        <w:spacing w:line="560" w:lineRule="exact"/>
        <w:ind w:firstLine="560" w:firstLineChars="2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对应于试题的理论知识部分。包括单选题（100题，100分）</w:t>
      </w:r>
    </w:p>
    <w:p>
      <w:pPr>
        <w:snapToGrid w:val="0"/>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和复选题（25题，50分）。其中单选题采用“四选一”形式；</w:t>
      </w:r>
    </w:p>
    <w:p>
      <w:pPr>
        <w:snapToGrid w:val="0"/>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多选题采用“五选多”形式。赛题库中有三套备选</w:t>
      </w:r>
      <w:r>
        <w:rPr>
          <w:rFonts w:ascii="仿宋" w:hAnsi="仿宋" w:eastAsia="仿宋" w:cs="Arial"/>
          <w:color w:val="000000" w:themeColor="text1"/>
          <w:sz w:val="28"/>
          <w:szCs w:val="28"/>
          <w14:textFill>
            <w14:solidFill>
              <w14:schemeClr w14:val="tx1"/>
            </w14:solidFill>
          </w14:textFill>
        </w:rPr>
        <w:t>竞赛</w:t>
      </w:r>
      <w:r>
        <w:rPr>
          <w:rFonts w:hint="eastAsia" w:ascii="仿宋" w:hAnsi="仿宋" w:eastAsia="仿宋" w:cs="Arial"/>
          <w:color w:val="000000" w:themeColor="text1"/>
          <w:sz w:val="28"/>
          <w:szCs w:val="28"/>
          <w14:textFill>
            <w14:solidFill>
              <w14:schemeClr w14:val="tx1"/>
            </w14:solidFill>
          </w14:textFill>
        </w:rPr>
        <w:t>赛卷，各套赛卷的重复率低于50%</w:t>
      </w:r>
    </w:p>
    <w:p>
      <w:pPr>
        <w:pStyle w:val="16"/>
        <w:numPr>
          <w:ilvl w:val="0"/>
          <w:numId w:val="2"/>
        </w:numPr>
        <w:spacing w:line="560" w:lineRule="exact"/>
        <w:ind w:left="0" w:firstLine="565" w:firstLineChars="202"/>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实训模式（100分）：</w:t>
      </w:r>
    </w:p>
    <w:p>
      <w:pPr>
        <w:spacing w:line="560" w:lineRule="exact"/>
        <w:ind w:firstLine="565" w:firstLineChars="202"/>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根据建筑施工及装配式施工现场实际工艺，完成实操模式考核</w:t>
      </w:r>
    </w:p>
    <w:p>
      <w:pPr>
        <w:spacing w:line="560" w:lineRule="exact"/>
        <w:ind w:firstLine="560" w:firstLineChars="200"/>
        <w:contextualSpacing/>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赛题库中有三套备选</w:t>
      </w:r>
      <w:r>
        <w:rPr>
          <w:rFonts w:ascii="仿宋" w:hAnsi="仿宋" w:eastAsia="仿宋" w:cs="Arial"/>
          <w:color w:val="000000" w:themeColor="text1"/>
          <w:sz w:val="28"/>
          <w:szCs w:val="28"/>
          <w14:textFill>
            <w14:solidFill>
              <w14:schemeClr w14:val="tx1"/>
            </w14:solidFill>
          </w14:textFill>
        </w:rPr>
        <w:t>竞赛</w:t>
      </w:r>
      <w:r>
        <w:rPr>
          <w:rFonts w:hint="eastAsia" w:ascii="仿宋" w:hAnsi="仿宋" w:eastAsia="仿宋" w:cs="Arial"/>
          <w:color w:val="000000" w:themeColor="text1"/>
          <w:sz w:val="28"/>
          <w:szCs w:val="28"/>
          <w14:textFill>
            <w14:solidFill>
              <w14:schemeClr w14:val="tx1"/>
            </w14:solidFill>
          </w14:textFill>
        </w:rPr>
        <w:t>赛卷，各套赛卷的重复率低于50%</w:t>
      </w:r>
    </w:p>
    <w:p>
      <w:pPr>
        <w:snapToGrid w:val="0"/>
        <w:spacing w:line="560" w:lineRule="exact"/>
        <w:rPr>
          <w:rFonts w:hint="eastAsia"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大赛采用自动化竞赛系统，采取全自动化竞赛形式：</w:t>
      </w:r>
    </w:p>
    <w:p>
      <w:pPr>
        <w:snapToGrid w:val="0"/>
        <w:spacing w:line="560" w:lineRule="exact"/>
        <w:rPr>
          <w:rFonts w:hint="eastAsia"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第一步，在竞赛前5分钟，由总评委启动抽题功能，系统自动抽取并发布试卷；</w:t>
      </w:r>
    </w:p>
    <w:p>
      <w:pPr>
        <w:snapToGrid w:val="0"/>
        <w:spacing w:line="560" w:lineRule="exact"/>
        <w:rPr>
          <w:rFonts w:hint="eastAsia"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第二步，参赛团队根据平台试卷答题要求操作平台考试模式并答题，得出结果；</w:t>
      </w:r>
    </w:p>
    <w:p>
      <w:pPr>
        <w:snapToGrid w:val="0"/>
        <w:spacing w:line="560" w:lineRule="exact"/>
        <w:rPr>
          <w:rFonts w:hint="eastAsia"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第三步，参赛团队通过竞赛系统完成任务；</w:t>
      </w:r>
    </w:p>
    <w:p>
      <w:pPr>
        <w:snapToGrid w:val="0"/>
        <w:spacing w:line="560" w:lineRule="exact"/>
        <w:rPr>
          <w:rFonts w:hint="eastAsia"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第四步，电脑自动评卷，统计分数，并实时显示团队分数、用时和排名；</w:t>
      </w:r>
    </w:p>
    <w:p>
      <w:pPr>
        <w:snapToGrid w:val="0"/>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在规定时间内，答题得分高（当得分相同时答题用时少）的团队排名靠前。</w:t>
      </w:r>
    </w:p>
    <w:p>
      <w:pPr>
        <w:pStyle w:val="2"/>
        <w:spacing w:before="156"/>
        <w:rPr>
          <w:rFonts w:cs="Times New Roman"/>
          <w:sz w:val="28"/>
          <w:szCs w:val="28"/>
        </w:rPr>
      </w:pPr>
      <w:r>
        <w:rPr>
          <w:rFonts w:hint="eastAsia"/>
        </w:rPr>
        <w:t>八、评分方法及细则</w:t>
      </w:r>
    </w:p>
    <w:p>
      <w:pPr>
        <w:spacing w:line="560" w:lineRule="exact"/>
        <w:ind w:firstLine="601"/>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按</w:t>
      </w:r>
      <w:r>
        <w:rPr>
          <w:rFonts w:ascii="仿宋" w:hAnsi="仿宋" w:eastAsia="仿宋" w:cs="Arial"/>
          <w:color w:val="000000" w:themeColor="text1"/>
          <w:sz w:val="28"/>
          <w:szCs w:val="28"/>
          <w14:textFill>
            <w14:solidFill>
              <w14:schemeClr w14:val="tx1"/>
            </w14:solidFill>
          </w14:textFill>
        </w:rPr>
        <w:t>照《全国职业院校技能大赛成绩管理办法》的相关要求，根据申报赛项自身的特点，选定具有较强操作性的评分方法，编制评分细则。</w:t>
      </w:r>
    </w:p>
    <w:p>
      <w:pPr>
        <w:spacing w:line="560" w:lineRule="exact"/>
        <w:ind w:firstLine="601"/>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（一）评分标准制定原则</w:t>
      </w:r>
    </w:p>
    <w:p>
      <w:pPr>
        <w:spacing w:line="560" w:lineRule="exact"/>
        <w:ind w:firstLine="601"/>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1、以现行的国家或行业规范及有关技术标准作为制定评分标准的依据。</w:t>
      </w:r>
    </w:p>
    <w:p>
      <w:pPr>
        <w:spacing w:line="560" w:lineRule="exact"/>
        <w:ind w:firstLine="601"/>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2、主要参照建筑工程质质量验收统一标准及各分部工程质量验收规范要点、建筑结构荷载规范、混凝土结构设计规范、混凝土结构工程施工规范等规范要点。</w:t>
      </w:r>
    </w:p>
    <w:p>
      <w:pPr>
        <w:spacing w:line="560" w:lineRule="exact"/>
        <w:ind w:firstLine="601"/>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对相关知识和技能的要求确定竞赛题目的范围、权重及程度。</w:t>
      </w:r>
    </w:p>
    <w:p>
      <w:pPr>
        <w:spacing w:line="560" w:lineRule="exact"/>
        <w:ind w:firstLine="601"/>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（二）评分方法</w:t>
      </w:r>
    </w:p>
    <w:p>
      <w:pPr>
        <w:spacing w:line="560" w:lineRule="exact"/>
        <w:ind w:firstLine="601"/>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A.根据竞赛大项（建筑工程专业知识问答、建筑工程模拟实操），特聘专家组成评审组。</w:t>
      </w:r>
    </w:p>
    <w:p>
      <w:pPr>
        <w:spacing w:line="560" w:lineRule="exact"/>
        <w:ind w:firstLine="601"/>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B.专家主要从相关行业、企业的技术专家和技能大师及职业院校省级专业带头人中遴选产生，由组委会统一遴选和聘请。</w:t>
      </w:r>
    </w:p>
    <w:p>
      <w:pPr>
        <w:spacing w:line="560" w:lineRule="exact"/>
        <w:ind w:firstLine="601"/>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C.专业知识问答、模拟实操，按4:6 计分比例进行统计，计算团队排名。同一组3人共同完成专业知识问答，因此同组3人专业知识问答成绩相同。</w:t>
      </w:r>
    </w:p>
    <w:p>
      <w:pPr>
        <w:spacing w:line="560" w:lineRule="exact"/>
        <w:ind w:firstLine="601"/>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（三）评分细则</w:t>
      </w:r>
    </w:p>
    <w:tbl>
      <w:tblPr>
        <w:tblStyle w:val="8"/>
        <w:tblW w:w="86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701"/>
        <w:gridCol w:w="1276"/>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竞赛任务</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分值比例</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评分点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298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专业问答知识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40%</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按照题目内容选择正确的答案，系统自动判断对错。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3" w:hRule="atLeast"/>
          <w:jc w:val="center"/>
        </w:trPr>
        <w:tc>
          <w:tcPr>
            <w:tcW w:w="1283" w:type="dxa"/>
            <w:vMerge w:val="restart"/>
            <w:tcBorders>
              <w:top w:val="single" w:color="auto" w:sz="4" w:space="0"/>
              <w:left w:val="single" w:color="auto" w:sz="4" w:space="0"/>
              <w:right w:val="single" w:color="auto" w:sz="4" w:space="0"/>
            </w:tcBorders>
            <w:vAlign w:val="center"/>
          </w:tcPr>
          <w:p>
            <w:pPr>
              <w:snapToGrid w:val="0"/>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施工工艺与管理应用技能</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地基与基础工程施工</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按照给定模型，选择工具、材料正确的施工步骤操作、检查模型生产流程的完整性、准确性。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1283" w:type="dxa"/>
            <w:vMerge w:val="continue"/>
            <w:tcBorders>
              <w:left w:val="single" w:color="auto" w:sz="4" w:space="0"/>
              <w:right w:val="single" w:color="auto" w:sz="4" w:space="0"/>
            </w:tcBorders>
            <w:vAlign w:val="center"/>
          </w:tcPr>
          <w:p>
            <w:pPr>
              <w:snapToGrid w:val="0"/>
              <w:jc w:val="center"/>
              <w:rPr>
                <w:rFonts w:ascii="仿宋" w:hAnsi="仿宋" w:eastAsia="仿宋" w:cs="仿宋"/>
                <w:color w:val="000000" w:themeColor="text1"/>
                <w:kern w:val="0"/>
                <w:sz w:val="24"/>
                <w:szCs w:val="24"/>
                <w14:textFill>
                  <w14:solidFill>
                    <w14:schemeClr w14:val="tx1"/>
                  </w14:solidFill>
                </w14:textFill>
              </w:rPr>
            </w:pPr>
          </w:p>
        </w:tc>
        <w:tc>
          <w:tcPr>
            <w:tcW w:w="1701" w:type="dxa"/>
            <w:tcBorders>
              <w:top w:val="single" w:color="auto" w:sz="4" w:space="0"/>
              <w:left w:val="single" w:color="auto" w:sz="4" w:space="0"/>
              <w:right w:val="single" w:color="auto" w:sz="4" w:space="0"/>
            </w:tcBorders>
            <w:vAlign w:val="center"/>
          </w:tcPr>
          <w:p>
            <w:pPr>
              <w:snapToGrid w:val="0"/>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主体结构工程施工</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按照给定模型，选择工具、材料正确的施工步骤操作、检查模型生产流程的完整性、准确性。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1283" w:type="dxa"/>
            <w:vMerge w:val="continue"/>
            <w:tcBorders>
              <w:left w:val="single" w:color="auto" w:sz="4" w:space="0"/>
              <w:right w:val="single" w:color="auto" w:sz="4" w:space="0"/>
            </w:tcBorders>
            <w:vAlign w:val="center"/>
          </w:tcPr>
          <w:p>
            <w:pPr>
              <w:snapToGrid w:val="0"/>
              <w:jc w:val="center"/>
              <w:rPr>
                <w:rFonts w:ascii="仿宋" w:hAnsi="仿宋" w:eastAsia="仿宋" w:cs="仿宋"/>
                <w:color w:val="000000" w:themeColor="text1"/>
                <w:kern w:val="0"/>
                <w:sz w:val="24"/>
                <w:szCs w:val="24"/>
                <w14:textFill>
                  <w14:solidFill>
                    <w14:schemeClr w14:val="tx1"/>
                  </w14:solidFill>
                </w14:textFill>
              </w:rPr>
            </w:pPr>
          </w:p>
        </w:tc>
        <w:tc>
          <w:tcPr>
            <w:tcW w:w="1701" w:type="dxa"/>
            <w:tcBorders>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装饰装修工程施工</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按照给定模型，选择工具、材料正确的施工步骤操作、检查模型生产流程的完整性、准确性。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1283" w:type="dxa"/>
            <w:vMerge w:val="continue"/>
            <w:tcBorders>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kern w:val="0"/>
                <w:sz w:val="24"/>
                <w:szCs w:val="24"/>
                <w14:textFill>
                  <w14:solidFill>
                    <w14:schemeClr w14:val="tx1"/>
                  </w14:solidFill>
                </w14:textFill>
              </w:rPr>
            </w:pPr>
          </w:p>
        </w:tc>
        <w:tc>
          <w:tcPr>
            <w:tcW w:w="1701" w:type="dxa"/>
            <w:tcBorders>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屋面工程施工</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按照给定模型，选择工具、材料正确的施工步骤操作、检查模型生产流程的完整性、准确性。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8654"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注：表格内容仅作参考，具体内容以最终发布规程为准。</w:t>
            </w:r>
          </w:p>
        </w:tc>
      </w:tr>
    </w:tbl>
    <w:p>
      <w:pPr>
        <w:pStyle w:val="2"/>
        <w:spacing w:before="156"/>
        <w:rPr>
          <w:rFonts w:hint="eastAsia"/>
          <w:b w:val="0"/>
          <w:bCs w:val="0"/>
          <w:sz w:val="28"/>
          <w:szCs w:val="28"/>
        </w:rPr>
      </w:pPr>
    </w:p>
    <w:p>
      <w:pPr>
        <w:pStyle w:val="2"/>
        <w:spacing w:before="156"/>
        <w:rPr>
          <w:rFonts w:cs="Times New Roman"/>
        </w:rPr>
      </w:pPr>
      <w:r>
        <w:rPr>
          <w:rFonts w:hint="eastAsia"/>
        </w:rPr>
        <w:t>九、奖项设定</w:t>
      </w:r>
    </w:p>
    <w:p>
      <w:pPr>
        <w:numPr>
          <w:ilvl w:val="0"/>
          <w:numId w:val="3"/>
        </w:numPr>
        <w:spacing w:line="360" w:lineRule="auto"/>
        <w:rPr>
          <w:sz w:val="28"/>
          <w:szCs w:val="28"/>
        </w:rPr>
      </w:pPr>
      <w:r>
        <w:rPr>
          <w:rFonts w:hint="eastAsia"/>
          <w:sz w:val="28"/>
          <w:szCs w:val="28"/>
        </w:rPr>
        <w:t>参赛团队奖项设置如下：</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spacing w:line="360" w:lineRule="auto"/>
              <w:jc w:val="center"/>
              <w:rPr>
                <w:rFonts w:ascii="仿宋" w:hAnsi="仿宋" w:eastAsia="仿宋" w:cs="仿宋"/>
                <w:kern w:val="0"/>
                <w:sz w:val="24"/>
                <w:szCs w:val="24"/>
              </w:rPr>
            </w:pPr>
            <w:r>
              <w:rPr>
                <w:rFonts w:hint="eastAsia" w:ascii="仿宋" w:hAnsi="仿宋" w:eastAsia="仿宋"/>
                <w:b/>
                <w:sz w:val="24"/>
                <w:szCs w:val="24"/>
              </w:rPr>
              <w:t>综合奖项</w:t>
            </w:r>
          </w:p>
        </w:tc>
        <w:tc>
          <w:tcPr>
            <w:tcW w:w="2841" w:type="dxa"/>
            <w:vAlign w:val="center"/>
          </w:tcPr>
          <w:p>
            <w:pPr>
              <w:spacing w:line="360" w:lineRule="auto"/>
              <w:jc w:val="center"/>
              <w:rPr>
                <w:rFonts w:hint="eastAsia" w:ascii="仿宋" w:hAnsi="仿宋" w:eastAsia="仿宋"/>
                <w:b/>
                <w:sz w:val="24"/>
                <w:szCs w:val="24"/>
              </w:rPr>
            </w:pPr>
            <w:r>
              <w:rPr>
                <w:rFonts w:hint="eastAsia" w:ascii="仿宋" w:hAnsi="仿宋" w:eastAsia="仿宋"/>
                <w:b/>
                <w:sz w:val="24"/>
                <w:szCs w:val="24"/>
              </w:rPr>
              <w:t>获奖数量或比例</w:t>
            </w:r>
          </w:p>
          <w:p>
            <w:pPr>
              <w:spacing w:line="360" w:lineRule="auto"/>
              <w:jc w:val="center"/>
              <w:rPr>
                <w:rFonts w:ascii="仿宋" w:hAnsi="仿宋" w:eastAsia="仿宋"/>
                <w:b/>
                <w:sz w:val="24"/>
                <w:szCs w:val="24"/>
              </w:rPr>
            </w:pPr>
            <w:r>
              <w:rPr>
                <w:rFonts w:hint="eastAsia" w:ascii="仿宋" w:hAnsi="仿宋" w:eastAsia="仿宋"/>
                <w:sz w:val="24"/>
                <w:szCs w:val="24"/>
              </w:rPr>
              <w:t>（占本组总数的百分比）</w:t>
            </w:r>
          </w:p>
        </w:tc>
        <w:tc>
          <w:tcPr>
            <w:tcW w:w="2841" w:type="dxa"/>
            <w:vAlign w:val="center"/>
          </w:tcPr>
          <w:p>
            <w:pPr>
              <w:spacing w:line="360" w:lineRule="auto"/>
              <w:jc w:val="center"/>
              <w:rPr>
                <w:rFonts w:ascii="仿宋" w:hAnsi="仿宋" w:eastAsia="仿宋" w:cs="仿宋"/>
                <w:kern w:val="0"/>
                <w:sz w:val="24"/>
                <w:szCs w:val="24"/>
              </w:rPr>
            </w:pPr>
            <w:r>
              <w:rPr>
                <w:rFonts w:hint="eastAsia" w:ascii="仿宋" w:hAnsi="仿宋" w:eastAsia="仿宋"/>
                <w:b/>
                <w:sz w:val="24"/>
                <w:szCs w:val="24"/>
              </w:rPr>
              <w:t>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360" w:lineRule="auto"/>
              <w:jc w:val="center"/>
              <w:rPr>
                <w:rFonts w:ascii="仿宋" w:hAnsi="仿宋" w:eastAsia="仿宋"/>
                <w:sz w:val="24"/>
                <w:szCs w:val="24"/>
              </w:rPr>
            </w:pPr>
            <w:r>
              <w:rPr>
                <w:rFonts w:hint="eastAsia" w:ascii="仿宋" w:hAnsi="仿宋" w:eastAsia="仿宋"/>
                <w:sz w:val="24"/>
                <w:szCs w:val="24"/>
              </w:rPr>
              <w:t>总冠军</w:t>
            </w:r>
          </w:p>
        </w:tc>
        <w:tc>
          <w:tcPr>
            <w:tcW w:w="2841" w:type="dxa"/>
          </w:tcPr>
          <w:p>
            <w:pPr>
              <w:spacing w:line="360" w:lineRule="auto"/>
              <w:jc w:val="center"/>
              <w:rPr>
                <w:rFonts w:ascii="仿宋" w:hAnsi="仿宋" w:eastAsia="仿宋"/>
                <w:sz w:val="24"/>
                <w:szCs w:val="24"/>
              </w:rPr>
            </w:pPr>
            <w:r>
              <w:rPr>
                <w:rFonts w:hint="eastAsia" w:ascii="仿宋" w:hAnsi="仿宋" w:eastAsia="仿宋"/>
                <w:sz w:val="24"/>
                <w:szCs w:val="24"/>
              </w:rPr>
              <w:t>1</w:t>
            </w:r>
          </w:p>
        </w:tc>
        <w:tc>
          <w:tcPr>
            <w:tcW w:w="2841" w:type="dxa"/>
          </w:tcPr>
          <w:p>
            <w:pPr>
              <w:rPr>
                <w:rFonts w:ascii="仿宋" w:hAnsi="仿宋" w:eastAsia="仿宋"/>
                <w:sz w:val="24"/>
                <w:szCs w:val="24"/>
              </w:rPr>
            </w:pPr>
            <w:r>
              <w:rPr>
                <w:rFonts w:hint="eastAsia" w:ascii="仿宋" w:hAnsi="仿宋" w:eastAsia="仿宋"/>
                <w:sz w:val="24"/>
                <w:szCs w:val="24"/>
              </w:rPr>
              <w:t>奖杯+证书+奖品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360" w:lineRule="auto"/>
              <w:jc w:val="center"/>
              <w:rPr>
                <w:rFonts w:ascii="仿宋" w:hAnsi="仿宋" w:eastAsia="仿宋"/>
                <w:sz w:val="24"/>
                <w:szCs w:val="24"/>
              </w:rPr>
            </w:pPr>
            <w:r>
              <w:rPr>
                <w:rFonts w:hint="eastAsia" w:ascii="仿宋" w:hAnsi="仿宋" w:eastAsia="仿宋"/>
                <w:sz w:val="24"/>
                <w:szCs w:val="24"/>
              </w:rPr>
              <w:t>一等奖</w:t>
            </w:r>
          </w:p>
        </w:tc>
        <w:tc>
          <w:tcPr>
            <w:tcW w:w="2841" w:type="dxa"/>
          </w:tcPr>
          <w:p>
            <w:pPr>
              <w:spacing w:line="360" w:lineRule="auto"/>
              <w:jc w:val="center"/>
              <w:rPr>
                <w:rFonts w:ascii="仿宋" w:hAnsi="仿宋" w:eastAsia="仿宋"/>
                <w:sz w:val="24"/>
                <w:szCs w:val="24"/>
              </w:rPr>
            </w:pPr>
            <w:r>
              <w:rPr>
                <w:rFonts w:hint="eastAsia" w:ascii="仿宋" w:hAnsi="仿宋" w:eastAsia="仿宋"/>
                <w:sz w:val="24"/>
                <w:szCs w:val="24"/>
              </w:rPr>
              <w:t>10%</w:t>
            </w:r>
          </w:p>
        </w:tc>
        <w:tc>
          <w:tcPr>
            <w:tcW w:w="2841" w:type="dxa"/>
          </w:tcPr>
          <w:p>
            <w:pPr>
              <w:rPr>
                <w:rFonts w:ascii="仿宋" w:hAnsi="仿宋" w:eastAsia="仿宋"/>
                <w:sz w:val="24"/>
                <w:szCs w:val="24"/>
              </w:rPr>
            </w:pPr>
            <w:r>
              <w:rPr>
                <w:rFonts w:hint="eastAsia" w:ascii="仿宋" w:hAnsi="仿宋" w:eastAsia="仿宋"/>
                <w:sz w:val="24"/>
                <w:szCs w:val="24"/>
              </w:rPr>
              <w:t>奖杯+证书+奖品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360" w:lineRule="auto"/>
              <w:jc w:val="center"/>
              <w:rPr>
                <w:rFonts w:ascii="仿宋" w:hAnsi="仿宋" w:eastAsia="仿宋"/>
                <w:sz w:val="24"/>
                <w:szCs w:val="24"/>
              </w:rPr>
            </w:pPr>
            <w:r>
              <w:rPr>
                <w:rFonts w:hint="eastAsia" w:ascii="仿宋" w:hAnsi="仿宋" w:eastAsia="仿宋"/>
                <w:sz w:val="24"/>
                <w:szCs w:val="24"/>
              </w:rPr>
              <w:t>二等奖</w:t>
            </w:r>
          </w:p>
        </w:tc>
        <w:tc>
          <w:tcPr>
            <w:tcW w:w="2841" w:type="dxa"/>
          </w:tcPr>
          <w:p>
            <w:pPr>
              <w:spacing w:line="360" w:lineRule="auto"/>
              <w:jc w:val="center"/>
              <w:rPr>
                <w:rFonts w:ascii="仿宋" w:hAnsi="仿宋" w:eastAsia="仿宋"/>
                <w:sz w:val="24"/>
                <w:szCs w:val="24"/>
              </w:rPr>
            </w:pPr>
            <w:r>
              <w:rPr>
                <w:rFonts w:hint="eastAsia" w:ascii="仿宋" w:hAnsi="仿宋" w:eastAsia="仿宋"/>
                <w:sz w:val="24"/>
                <w:szCs w:val="24"/>
              </w:rPr>
              <w:t>20%</w:t>
            </w:r>
          </w:p>
        </w:tc>
        <w:tc>
          <w:tcPr>
            <w:tcW w:w="2841" w:type="dxa"/>
          </w:tcPr>
          <w:p>
            <w:pPr>
              <w:rPr>
                <w:rFonts w:ascii="仿宋" w:hAnsi="仿宋" w:eastAsia="仿宋"/>
                <w:sz w:val="24"/>
                <w:szCs w:val="24"/>
              </w:rPr>
            </w:pPr>
            <w:r>
              <w:rPr>
                <w:rFonts w:hint="eastAsia" w:ascii="仿宋" w:hAnsi="仿宋" w:eastAsia="仿宋"/>
                <w:sz w:val="24"/>
                <w:szCs w:val="24"/>
              </w:rPr>
              <w:t>奖杯+证书+奖品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360" w:lineRule="auto"/>
              <w:jc w:val="center"/>
              <w:rPr>
                <w:rFonts w:ascii="仿宋" w:hAnsi="仿宋" w:eastAsia="仿宋"/>
                <w:sz w:val="24"/>
                <w:szCs w:val="24"/>
              </w:rPr>
            </w:pPr>
            <w:r>
              <w:rPr>
                <w:rFonts w:hint="eastAsia" w:ascii="仿宋" w:hAnsi="仿宋" w:eastAsia="仿宋"/>
                <w:sz w:val="24"/>
                <w:szCs w:val="24"/>
              </w:rPr>
              <w:t>三等奖</w:t>
            </w:r>
          </w:p>
        </w:tc>
        <w:tc>
          <w:tcPr>
            <w:tcW w:w="2841" w:type="dxa"/>
          </w:tcPr>
          <w:p>
            <w:pPr>
              <w:spacing w:line="360" w:lineRule="auto"/>
              <w:jc w:val="center"/>
              <w:rPr>
                <w:rFonts w:ascii="仿宋" w:hAnsi="仿宋" w:eastAsia="仿宋"/>
                <w:sz w:val="24"/>
                <w:szCs w:val="24"/>
              </w:rPr>
            </w:pPr>
            <w:r>
              <w:rPr>
                <w:rFonts w:hint="eastAsia" w:ascii="仿宋" w:hAnsi="仿宋" w:eastAsia="仿宋"/>
                <w:sz w:val="24"/>
                <w:szCs w:val="24"/>
              </w:rPr>
              <w:t>30%</w:t>
            </w:r>
          </w:p>
        </w:tc>
        <w:tc>
          <w:tcPr>
            <w:tcW w:w="2841" w:type="dxa"/>
          </w:tcPr>
          <w:p>
            <w:pPr>
              <w:rPr>
                <w:rFonts w:ascii="仿宋" w:hAnsi="仿宋" w:eastAsia="仿宋"/>
                <w:sz w:val="24"/>
                <w:szCs w:val="24"/>
              </w:rPr>
            </w:pPr>
            <w:r>
              <w:rPr>
                <w:rFonts w:hint="eastAsia" w:ascii="仿宋" w:hAnsi="仿宋" w:eastAsia="仿宋"/>
                <w:sz w:val="24"/>
                <w:szCs w:val="24"/>
              </w:rPr>
              <w:t>奖杯+证书+奖品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360" w:lineRule="auto"/>
              <w:jc w:val="center"/>
              <w:rPr>
                <w:rFonts w:ascii="仿宋" w:hAnsi="仿宋" w:eastAsia="仿宋"/>
                <w:sz w:val="24"/>
                <w:szCs w:val="24"/>
              </w:rPr>
            </w:pPr>
            <w:r>
              <w:rPr>
                <w:rFonts w:hint="eastAsia" w:ascii="仿宋" w:hAnsi="仿宋" w:eastAsia="仿宋"/>
                <w:sz w:val="24"/>
                <w:szCs w:val="24"/>
              </w:rPr>
              <w:t>教师专项奖</w:t>
            </w:r>
          </w:p>
        </w:tc>
        <w:tc>
          <w:tcPr>
            <w:tcW w:w="2841" w:type="dxa"/>
          </w:tcPr>
          <w:p>
            <w:pPr>
              <w:spacing w:line="360" w:lineRule="auto"/>
              <w:jc w:val="center"/>
              <w:rPr>
                <w:rFonts w:ascii="仿宋" w:hAnsi="仿宋" w:eastAsia="仿宋"/>
                <w:sz w:val="24"/>
                <w:szCs w:val="24"/>
              </w:rPr>
            </w:pPr>
            <w:r>
              <w:rPr>
                <w:rFonts w:hint="eastAsia" w:ascii="仿宋" w:hAnsi="仿宋" w:eastAsia="仿宋"/>
                <w:sz w:val="24"/>
                <w:szCs w:val="24"/>
              </w:rPr>
              <w:t>5名</w:t>
            </w:r>
          </w:p>
        </w:tc>
        <w:tc>
          <w:tcPr>
            <w:tcW w:w="2841" w:type="dxa"/>
          </w:tcPr>
          <w:p>
            <w:pPr>
              <w:rPr>
                <w:rFonts w:ascii="仿宋" w:hAnsi="仿宋" w:eastAsia="仿宋"/>
                <w:sz w:val="24"/>
                <w:szCs w:val="24"/>
              </w:rPr>
            </w:pPr>
            <w:r>
              <w:rPr>
                <w:rFonts w:hint="eastAsia" w:ascii="仿宋" w:hAnsi="仿宋" w:eastAsia="仿宋"/>
                <w:sz w:val="24"/>
                <w:szCs w:val="24"/>
              </w:rPr>
              <w:t>奖杯+证书+奖品</w:t>
            </w:r>
          </w:p>
        </w:tc>
      </w:tr>
    </w:tbl>
    <w:p>
      <w:pPr>
        <w:numPr>
          <w:ilvl w:val="0"/>
          <w:numId w:val="3"/>
        </w:numPr>
        <w:spacing w:line="360" w:lineRule="auto"/>
        <w:rPr>
          <w:rFonts w:hint="eastAsia" w:ascii="仿宋" w:hAnsi="仿宋" w:eastAsia="仿宋"/>
          <w:sz w:val="28"/>
          <w:szCs w:val="28"/>
        </w:rPr>
      </w:pPr>
      <w:r>
        <w:rPr>
          <w:rFonts w:hint="eastAsia" w:ascii="仿宋" w:hAnsi="仿宋" w:eastAsia="仿宋"/>
          <w:sz w:val="28"/>
          <w:szCs w:val="28"/>
        </w:rPr>
        <w:t>获奖团队及个人将由中国建设教育协会颁发荣誉证书，由西安三好软件技术股份有限公司提供奖励。</w:t>
      </w:r>
    </w:p>
    <w:p>
      <w:pPr>
        <w:numPr>
          <w:ilvl w:val="0"/>
          <w:numId w:val="3"/>
        </w:numPr>
        <w:spacing w:line="360" w:lineRule="auto"/>
        <w:rPr>
          <w:rFonts w:hint="eastAsia" w:ascii="仿宋" w:hAnsi="仿宋" w:eastAsia="仿宋"/>
          <w:sz w:val="28"/>
          <w:szCs w:val="28"/>
        </w:rPr>
      </w:pPr>
      <w:r>
        <w:rPr>
          <w:rFonts w:hint="eastAsia" w:ascii="仿宋" w:hAnsi="仿宋" w:eastAsia="仿宋"/>
          <w:sz w:val="28"/>
          <w:szCs w:val="28"/>
        </w:rPr>
        <w:t>每个获奖学生的指导老师均获得中国建设教育协会颁发的荣誉证书1份，组委会默认每个学生或每个团队的指导老师仅有1位。</w:t>
      </w:r>
    </w:p>
    <w:p>
      <w:pPr>
        <w:pStyle w:val="2"/>
        <w:spacing w:before="156"/>
        <w:rPr>
          <w:rFonts w:cs="Times New Roman"/>
        </w:rPr>
      </w:pPr>
      <w:r>
        <w:rPr>
          <w:rFonts w:hint="eastAsia"/>
        </w:rPr>
        <w:t>十、赛项安全保障</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为保证大赛顺利正常进行，大赛期间作如下方式控制和操作：</w:t>
      </w:r>
    </w:p>
    <w:p>
      <w:pPr>
        <w:snapToGrid w:val="0"/>
        <w:spacing w:line="560" w:lineRule="exact"/>
        <w:rPr>
          <w:rFonts w:ascii="仿宋" w:hAnsi="仿宋" w:eastAsia="仿宋" w:cs="Times New Roman"/>
          <w:kern w:val="0"/>
          <w:sz w:val="28"/>
          <w:szCs w:val="28"/>
        </w:rPr>
      </w:pPr>
      <w:r>
        <w:rPr>
          <w:rFonts w:hint="eastAsia" w:ascii="仿宋" w:hAnsi="仿宋" w:eastAsia="仿宋" w:cs="仿宋"/>
          <w:kern w:val="0"/>
          <w:sz w:val="28"/>
          <w:szCs w:val="28"/>
        </w:rPr>
        <w:t>（一）赛场的布置，赛场内的器材、设备，应符合国家有关安全规定；</w:t>
      </w:r>
    </w:p>
    <w:p>
      <w:pPr>
        <w:snapToGrid w:val="0"/>
        <w:spacing w:line="560" w:lineRule="exact"/>
        <w:rPr>
          <w:rFonts w:ascii="仿宋" w:hAnsi="仿宋" w:eastAsia="仿宋" w:cs="Times New Roman"/>
          <w:kern w:val="0"/>
          <w:sz w:val="28"/>
          <w:szCs w:val="28"/>
        </w:rPr>
      </w:pPr>
      <w:r>
        <w:rPr>
          <w:rFonts w:hint="eastAsia" w:ascii="仿宋" w:hAnsi="仿宋" w:eastAsia="仿宋" w:cs="仿宋"/>
          <w:kern w:val="0"/>
          <w:sz w:val="28"/>
          <w:szCs w:val="28"/>
        </w:rPr>
        <w:t>（二）大赛现场设置警戒线，参赛选手以及工作人员通过证件检录入场，无证件人员一律不得进入赛场；</w:t>
      </w:r>
    </w:p>
    <w:p>
      <w:pPr>
        <w:snapToGrid w:val="0"/>
        <w:spacing w:line="560" w:lineRule="exact"/>
        <w:rPr>
          <w:rFonts w:ascii="仿宋" w:hAnsi="仿宋" w:eastAsia="仿宋" w:cs="Times New Roman"/>
          <w:kern w:val="0"/>
          <w:sz w:val="28"/>
          <w:szCs w:val="28"/>
        </w:rPr>
      </w:pPr>
      <w:r>
        <w:rPr>
          <w:rFonts w:hint="eastAsia" w:ascii="仿宋" w:hAnsi="仿宋" w:eastAsia="仿宋" w:cs="仿宋"/>
          <w:kern w:val="0"/>
          <w:sz w:val="28"/>
          <w:szCs w:val="28"/>
        </w:rPr>
        <w:t>（三）做好赛场路线指引工作，现场设置指示牌、警示牌等；</w:t>
      </w:r>
    </w:p>
    <w:p>
      <w:pPr>
        <w:snapToGrid w:val="0"/>
        <w:spacing w:line="560" w:lineRule="exact"/>
        <w:rPr>
          <w:rFonts w:ascii="仿宋" w:hAnsi="仿宋" w:eastAsia="仿宋" w:cs="Times New Roman"/>
          <w:kern w:val="0"/>
          <w:sz w:val="28"/>
          <w:szCs w:val="28"/>
        </w:rPr>
      </w:pPr>
      <w:r>
        <w:rPr>
          <w:rFonts w:hint="eastAsia" w:ascii="仿宋" w:hAnsi="仿宋" w:eastAsia="仿宋" w:cs="仿宋"/>
          <w:kern w:val="0"/>
          <w:sz w:val="28"/>
          <w:szCs w:val="28"/>
        </w:rPr>
        <w:t>（四）参赛师生驻地宜集中，尽量减少交通距离，保证参赛师生的吃住卫生和安全；</w:t>
      </w:r>
    </w:p>
    <w:p>
      <w:pPr>
        <w:snapToGrid w:val="0"/>
        <w:spacing w:line="560" w:lineRule="exact"/>
        <w:rPr>
          <w:rFonts w:ascii="仿宋" w:hAnsi="仿宋" w:eastAsia="仿宋" w:cs="Times New Roman"/>
          <w:kern w:val="0"/>
          <w:sz w:val="28"/>
          <w:szCs w:val="28"/>
        </w:rPr>
      </w:pPr>
      <w:r>
        <w:rPr>
          <w:rFonts w:hint="eastAsia" w:ascii="仿宋" w:hAnsi="仿宋" w:eastAsia="仿宋" w:cs="仿宋"/>
          <w:kern w:val="0"/>
          <w:sz w:val="28"/>
          <w:szCs w:val="28"/>
        </w:rPr>
        <w:t>（五）在赛场安排专门的就医场所、报警点、志愿者服务站；</w:t>
      </w:r>
      <w:r>
        <w:rPr>
          <w:rFonts w:ascii="仿宋" w:hAnsi="仿宋" w:eastAsia="仿宋" w:cs="Times New Roman"/>
          <w:kern w:val="0"/>
          <w:sz w:val="28"/>
          <w:szCs w:val="28"/>
        </w:rPr>
        <w:t xml:space="preserve"> </w:t>
      </w:r>
    </w:p>
    <w:p>
      <w:pPr>
        <w:snapToGrid w:val="0"/>
        <w:spacing w:line="560" w:lineRule="exact"/>
        <w:rPr>
          <w:rFonts w:ascii="仿宋" w:hAnsi="仿宋" w:eastAsia="仿宋" w:cs="Times New Roman"/>
          <w:kern w:val="0"/>
          <w:sz w:val="28"/>
          <w:szCs w:val="28"/>
        </w:rPr>
      </w:pPr>
      <w:r>
        <w:rPr>
          <w:rFonts w:hint="eastAsia" w:ascii="仿宋" w:hAnsi="仿宋" w:eastAsia="仿宋" w:cs="仿宋"/>
          <w:kern w:val="0"/>
          <w:sz w:val="28"/>
          <w:szCs w:val="28"/>
        </w:rPr>
        <w:t>（六）现场的临时电源线均用固线管套加固防护，均敷设接地电线，防止触电；</w:t>
      </w:r>
    </w:p>
    <w:p>
      <w:pPr>
        <w:pStyle w:val="2"/>
        <w:spacing w:before="156"/>
        <w:rPr>
          <w:rFonts w:cs="Times New Roman"/>
        </w:rPr>
      </w:pPr>
      <w:r>
        <w:rPr>
          <w:rFonts w:hint="eastAsia"/>
        </w:rPr>
        <w:t>十一、申诉与仲裁</w:t>
      </w:r>
    </w:p>
    <w:p>
      <w:pPr>
        <w:spacing w:line="480" w:lineRule="exact"/>
        <w:ind w:firstLine="560" w:firstLineChars="200"/>
        <w:rPr>
          <w:rFonts w:ascii="仿宋" w:hAnsi="仿宋" w:eastAsia="仿宋" w:cs="Times New Roman"/>
          <w:sz w:val="28"/>
          <w:szCs w:val="28"/>
        </w:rPr>
      </w:pPr>
      <w:r>
        <w:rPr>
          <w:rFonts w:hint="eastAsia" w:ascii="仿宋" w:hAnsi="仿宋" w:eastAsia="仿宋" w:cs="仿宋"/>
          <w:sz w:val="28"/>
          <w:szCs w:val="28"/>
        </w:rPr>
        <w:t>本赛项在比赛过程中若出现有失公正或有关人员违规等现象，代表队领队可在比赛结束后</w:t>
      </w:r>
      <w:r>
        <w:rPr>
          <w:rFonts w:ascii="仿宋" w:hAnsi="仿宋" w:eastAsia="仿宋" w:cs="仿宋"/>
          <w:sz w:val="28"/>
          <w:szCs w:val="28"/>
        </w:rPr>
        <w:t>2</w:t>
      </w:r>
      <w:r>
        <w:rPr>
          <w:rFonts w:hint="eastAsia" w:ascii="仿宋" w:hAnsi="仿宋" w:eastAsia="仿宋" w:cs="仿宋"/>
          <w:sz w:val="28"/>
          <w:szCs w:val="28"/>
        </w:rPr>
        <w:t>小时之内向仲裁组提出申诉。仲裁工作组在接到申诉后的</w:t>
      </w:r>
      <w:r>
        <w:rPr>
          <w:rFonts w:ascii="仿宋" w:hAnsi="仿宋" w:eastAsia="仿宋" w:cs="仿宋"/>
          <w:sz w:val="28"/>
          <w:szCs w:val="28"/>
        </w:rPr>
        <w:t>2</w:t>
      </w:r>
      <w:r>
        <w:rPr>
          <w:rFonts w:hint="eastAsia" w:ascii="仿宋" w:hAnsi="仿宋" w:eastAsia="仿宋" w:cs="仿宋"/>
          <w:sz w:val="28"/>
          <w:szCs w:val="28"/>
        </w:rPr>
        <w:t>小时内组织复议，并及时反馈复议结果</w:t>
      </w:r>
      <w:r>
        <w:rPr>
          <w:rFonts w:ascii="仿宋" w:hAnsi="仿宋" w:eastAsia="仿宋" w:cs="仿宋"/>
          <w:sz w:val="28"/>
          <w:szCs w:val="28"/>
        </w:rPr>
        <w:t>,</w:t>
      </w:r>
      <w:r>
        <w:rPr>
          <w:rFonts w:hint="eastAsia" w:ascii="仿宋" w:hAnsi="仿宋" w:eastAsia="仿宋" w:cs="仿宋"/>
          <w:sz w:val="28"/>
          <w:szCs w:val="28"/>
        </w:rPr>
        <w:t>仲裁组的仲裁结果为最终结果。</w:t>
      </w:r>
    </w:p>
    <w:p>
      <w:pPr>
        <w:pStyle w:val="2"/>
        <w:spacing w:before="156"/>
        <w:rPr>
          <w:rFonts w:cs="Times New Roman"/>
        </w:rPr>
      </w:pPr>
      <w:r>
        <w:rPr>
          <w:rFonts w:hint="eastAsia"/>
        </w:rPr>
        <w:t>十二、竞赛观摩</w:t>
      </w:r>
    </w:p>
    <w:p>
      <w:pPr>
        <w:pStyle w:val="15"/>
        <w:adjustRightInd w:val="0"/>
        <w:snapToGrid w:val="0"/>
        <w:spacing w:line="480" w:lineRule="exact"/>
        <w:ind w:firstLine="560"/>
        <w:jc w:val="left"/>
        <w:rPr>
          <w:rFonts w:ascii="仿宋" w:hAnsi="仿宋" w:eastAsia="仿宋" w:cs="Times New Roman"/>
          <w:sz w:val="28"/>
          <w:szCs w:val="28"/>
        </w:rPr>
      </w:pPr>
      <w:r>
        <w:rPr>
          <w:rFonts w:hint="eastAsia" w:ascii="仿宋" w:hAnsi="仿宋" w:eastAsia="仿宋" w:cs="仿宋"/>
          <w:sz w:val="28"/>
          <w:szCs w:val="28"/>
        </w:rPr>
        <w:t>竞赛环境依据竞赛需求设计，在竞赛不被干扰的前提下赛场面向媒体、行业专家、企业代表及相关人员开放。设置媒体采访区、比赛观摩区，允许媒体、行业专家及相关人员在规定的时段在指定区域内到现场观赛。</w:t>
      </w:r>
    </w:p>
    <w:p>
      <w:pPr>
        <w:pStyle w:val="15"/>
        <w:adjustRightInd w:val="0"/>
        <w:snapToGrid w:val="0"/>
        <w:spacing w:line="480" w:lineRule="exact"/>
        <w:ind w:firstLine="0" w:firstLineChars="0"/>
        <w:jc w:val="left"/>
        <w:rPr>
          <w:rFonts w:ascii="仿宋" w:hAnsi="仿宋" w:eastAsia="仿宋" w:cs="Times New Roman"/>
          <w:sz w:val="28"/>
          <w:szCs w:val="28"/>
        </w:rPr>
      </w:pPr>
      <w:r>
        <w:rPr>
          <w:rFonts w:hint="eastAsia" w:ascii="仿宋" w:hAnsi="仿宋" w:eastAsia="仿宋" w:cs="仿宋"/>
          <w:kern w:val="0"/>
          <w:sz w:val="28"/>
          <w:szCs w:val="28"/>
        </w:rPr>
        <w:t>（一）</w:t>
      </w:r>
      <w:r>
        <w:rPr>
          <w:rFonts w:hint="eastAsia" w:ascii="仿宋" w:hAnsi="仿宋" w:eastAsia="仿宋" w:cs="仿宋"/>
          <w:sz w:val="28"/>
          <w:szCs w:val="28"/>
        </w:rPr>
        <w:t>在竞赛场地指定区域设立媒体采访区，设专人接待媒体人员并介绍赛项情况，并安排采访；</w:t>
      </w:r>
    </w:p>
    <w:p>
      <w:pPr>
        <w:pStyle w:val="15"/>
        <w:adjustRightInd w:val="0"/>
        <w:snapToGrid w:val="0"/>
        <w:spacing w:line="480" w:lineRule="exact"/>
        <w:ind w:firstLine="0" w:firstLineChars="0"/>
        <w:jc w:val="left"/>
        <w:rPr>
          <w:rFonts w:ascii="仿宋" w:hAnsi="仿宋" w:eastAsia="仿宋" w:cs="Times New Roman"/>
          <w:sz w:val="28"/>
          <w:szCs w:val="28"/>
        </w:rPr>
      </w:pPr>
      <w:r>
        <w:rPr>
          <w:rFonts w:hint="eastAsia" w:ascii="仿宋" w:hAnsi="仿宋" w:eastAsia="仿宋" w:cs="仿宋"/>
          <w:kern w:val="0"/>
          <w:sz w:val="28"/>
          <w:szCs w:val="28"/>
        </w:rPr>
        <w:t>（二）</w:t>
      </w:r>
      <w:r>
        <w:rPr>
          <w:rFonts w:hint="eastAsia" w:ascii="仿宋" w:hAnsi="仿宋" w:eastAsia="仿宋" w:cs="仿宋"/>
          <w:sz w:val="28"/>
          <w:szCs w:val="28"/>
        </w:rPr>
        <w:t>在竞赛场地指定区域设立比赛观摩区，相关人员可以该区域观看比赛并通过现场投影屏实时了解各参赛团队的竞赛成绩；</w:t>
      </w:r>
    </w:p>
    <w:p>
      <w:pPr>
        <w:pStyle w:val="15"/>
        <w:adjustRightInd w:val="0"/>
        <w:snapToGrid w:val="0"/>
        <w:spacing w:line="480" w:lineRule="exact"/>
        <w:ind w:firstLine="0" w:firstLineChars="0"/>
        <w:jc w:val="left"/>
        <w:rPr>
          <w:rFonts w:ascii="仿宋" w:hAnsi="仿宋" w:eastAsia="仿宋" w:cs="Times New Roman"/>
          <w:sz w:val="28"/>
          <w:szCs w:val="28"/>
        </w:rPr>
      </w:pPr>
      <w:r>
        <w:rPr>
          <w:rFonts w:hint="eastAsia" w:ascii="仿宋" w:hAnsi="仿宋" w:eastAsia="仿宋" w:cs="仿宋"/>
          <w:kern w:val="0"/>
          <w:sz w:val="28"/>
          <w:szCs w:val="28"/>
        </w:rPr>
        <w:t>（三）</w:t>
      </w:r>
      <w:r>
        <w:rPr>
          <w:rFonts w:hint="eastAsia" w:ascii="仿宋" w:hAnsi="仿宋" w:eastAsia="仿宋" w:cs="仿宋"/>
          <w:sz w:val="28"/>
          <w:szCs w:val="28"/>
        </w:rPr>
        <w:t>媒体人员到竞赛现场观摩和采访，需提前与大赛组织方联系报名，大赛组织方为媒体人员准备相关证件并凭证件入场；</w:t>
      </w:r>
    </w:p>
    <w:p>
      <w:pPr>
        <w:pStyle w:val="15"/>
        <w:adjustRightInd w:val="0"/>
        <w:snapToGrid w:val="0"/>
        <w:spacing w:line="480" w:lineRule="exact"/>
        <w:ind w:firstLine="0" w:firstLineChars="0"/>
        <w:jc w:val="left"/>
        <w:rPr>
          <w:rFonts w:ascii="仿宋" w:hAnsi="仿宋" w:eastAsia="仿宋" w:cs="Times New Roman"/>
          <w:sz w:val="28"/>
          <w:szCs w:val="28"/>
        </w:rPr>
      </w:pPr>
      <w:r>
        <w:rPr>
          <w:rFonts w:hint="eastAsia" w:ascii="仿宋" w:hAnsi="仿宋" w:eastAsia="仿宋" w:cs="仿宋"/>
          <w:kern w:val="0"/>
          <w:sz w:val="28"/>
          <w:szCs w:val="28"/>
        </w:rPr>
        <w:t>（四）</w:t>
      </w:r>
      <w:r>
        <w:rPr>
          <w:rFonts w:hint="eastAsia" w:ascii="仿宋" w:hAnsi="仿宋" w:eastAsia="仿宋" w:cs="仿宋"/>
          <w:sz w:val="28"/>
          <w:szCs w:val="28"/>
        </w:rPr>
        <w:t>观摩人员进入竞赛场地不得有大声喧哗等影响参赛选手竞赛的行为发生。</w:t>
      </w:r>
    </w:p>
    <w:p>
      <w:pPr>
        <w:spacing w:line="360" w:lineRule="auto"/>
        <w:rPr>
          <w:rFonts w:hint="eastAsia"/>
          <w:sz w:val="24"/>
          <w:szCs w:val="24"/>
        </w:rPr>
      </w:pPr>
    </w:p>
    <w:p>
      <w:pPr>
        <w:pStyle w:val="2"/>
        <w:spacing w:before="156"/>
        <w:rPr>
          <w:rFonts w:cs="Times New Roman"/>
        </w:rPr>
      </w:pPr>
      <w:r>
        <w:rPr>
          <w:rFonts w:hint="eastAsia"/>
        </w:rPr>
        <w:t>十三、竞赛须知</w:t>
      </w:r>
    </w:p>
    <w:p>
      <w:pPr>
        <w:tabs>
          <w:tab w:val="left" w:pos="1706"/>
        </w:tabs>
        <w:rPr>
          <w:rFonts w:ascii="仿宋" w:hAnsi="仿宋" w:eastAsia="仿宋" w:cs="Times New Roman"/>
          <w:sz w:val="28"/>
          <w:szCs w:val="28"/>
        </w:rPr>
      </w:pPr>
      <w:r>
        <w:rPr>
          <w:rFonts w:hint="eastAsia" w:ascii="仿宋" w:hAnsi="仿宋" w:eastAsia="仿宋" w:cs="仿宋"/>
          <w:sz w:val="28"/>
          <w:szCs w:val="28"/>
        </w:rPr>
        <w:t>（一）领队、指导教师须知</w:t>
      </w:r>
    </w:p>
    <w:p>
      <w:pPr>
        <w:adjustRightInd w:val="0"/>
        <w:snapToGrid w:val="0"/>
        <w:spacing w:line="480" w:lineRule="exact"/>
        <w:ind w:firstLine="560" w:firstLineChars="200"/>
        <w:jc w:val="left"/>
        <w:rPr>
          <w:rFonts w:ascii="仿宋" w:hAnsi="仿宋" w:eastAsia="仿宋" w:cs="Times New Roman"/>
          <w:sz w:val="28"/>
          <w:szCs w:val="28"/>
        </w:rPr>
      </w:pPr>
      <w:r>
        <w:rPr>
          <w:rFonts w:ascii="仿宋" w:hAnsi="仿宋" w:eastAsia="仿宋" w:cs="仿宋"/>
          <w:sz w:val="28"/>
          <w:szCs w:val="28"/>
        </w:rPr>
        <w:t>1.</w:t>
      </w:r>
      <w:r>
        <w:rPr>
          <w:rFonts w:hint="eastAsia" w:ascii="仿宋" w:hAnsi="仿宋" w:eastAsia="仿宋" w:cs="仿宋"/>
          <w:sz w:val="28"/>
          <w:szCs w:val="28"/>
        </w:rPr>
        <w:t>各参赛代表队要发扬良好道德风尚，听从指挥，服从裁判，不弄虚作假。如发现弄虚作假者，取消参赛资格，名次无效。</w:t>
      </w:r>
    </w:p>
    <w:p>
      <w:pPr>
        <w:adjustRightInd w:val="0"/>
        <w:snapToGrid w:val="0"/>
        <w:spacing w:line="480" w:lineRule="exact"/>
        <w:ind w:firstLine="560" w:firstLineChars="200"/>
        <w:jc w:val="left"/>
        <w:rPr>
          <w:rFonts w:ascii="仿宋" w:hAnsi="仿宋" w:eastAsia="仿宋" w:cs="Times New Roman"/>
          <w:sz w:val="28"/>
          <w:szCs w:val="28"/>
        </w:rPr>
      </w:pPr>
      <w:r>
        <w:rPr>
          <w:rFonts w:ascii="仿宋" w:hAnsi="仿宋" w:eastAsia="仿宋" w:cs="仿宋"/>
          <w:sz w:val="28"/>
          <w:szCs w:val="28"/>
        </w:rPr>
        <w:t>2.</w:t>
      </w:r>
      <w:r>
        <w:rPr>
          <w:rFonts w:hint="eastAsia" w:ascii="仿宋" w:hAnsi="仿宋" w:eastAsia="仿宋" w:cs="仿宋"/>
          <w:sz w:val="28"/>
          <w:szCs w:val="28"/>
        </w:rPr>
        <w:t>各代表队领队要坚决执行竞赛的各项规定，加强对参赛选手的管理，做好赛前准备工作，督促选手带好证件等竞赛相关材料。</w:t>
      </w:r>
    </w:p>
    <w:p>
      <w:pPr>
        <w:pStyle w:val="15"/>
        <w:adjustRightInd w:val="0"/>
        <w:snapToGrid w:val="0"/>
        <w:spacing w:line="480" w:lineRule="exact"/>
        <w:ind w:firstLine="560"/>
        <w:jc w:val="left"/>
        <w:rPr>
          <w:rFonts w:ascii="仿宋" w:hAnsi="仿宋" w:eastAsia="仿宋" w:cs="Times New Roman"/>
          <w:sz w:val="28"/>
          <w:szCs w:val="28"/>
        </w:rPr>
      </w:pPr>
      <w:r>
        <w:rPr>
          <w:rFonts w:ascii="仿宋" w:hAnsi="仿宋" w:eastAsia="仿宋" w:cs="仿宋"/>
          <w:sz w:val="28"/>
          <w:szCs w:val="28"/>
        </w:rPr>
        <w:t>3.</w:t>
      </w:r>
      <w:r>
        <w:rPr>
          <w:rFonts w:hint="eastAsia" w:ascii="仿宋" w:hAnsi="仿宋" w:eastAsia="仿宋" w:cs="仿宋"/>
          <w:sz w:val="28"/>
          <w:szCs w:val="28"/>
        </w:rPr>
        <w:t>竞赛过程中，除参加当场次竞赛的选手、执行裁判员、现场工作人员和经批准的人员外，领队、指导教师及其他人员一律不得进入竞赛现场。</w:t>
      </w:r>
    </w:p>
    <w:p>
      <w:pPr>
        <w:adjustRightInd w:val="0"/>
        <w:snapToGrid w:val="0"/>
        <w:spacing w:line="480" w:lineRule="exact"/>
        <w:ind w:firstLine="560" w:firstLineChars="200"/>
        <w:jc w:val="left"/>
        <w:rPr>
          <w:rFonts w:ascii="仿宋" w:hAnsi="仿宋" w:eastAsia="仿宋" w:cs="Times New Roman"/>
          <w:sz w:val="28"/>
          <w:szCs w:val="28"/>
        </w:rPr>
      </w:pPr>
      <w:r>
        <w:rPr>
          <w:rFonts w:hint="eastAsia" w:ascii="仿宋" w:hAnsi="仿宋" w:eastAsia="仿宋" w:cs="仿宋"/>
          <w:kern w:val="0"/>
          <w:sz w:val="28"/>
          <w:szCs w:val="28"/>
        </w:rPr>
        <w:t>3</w:t>
      </w:r>
      <w:r>
        <w:rPr>
          <w:rFonts w:ascii="仿宋" w:hAnsi="仿宋" w:eastAsia="仿宋" w:cs="仿宋"/>
          <w:kern w:val="0"/>
          <w:sz w:val="28"/>
          <w:szCs w:val="28"/>
        </w:rPr>
        <w:t>.</w:t>
      </w:r>
      <w:r>
        <w:rPr>
          <w:rFonts w:hint="eastAsia" w:ascii="仿宋" w:hAnsi="仿宋" w:eastAsia="仿宋" w:cs="仿宋"/>
          <w:sz w:val="28"/>
          <w:szCs w:val="28"/>
        </w:rPr>
        <w:t>指导老师应及时查看大赛专用网页有关赛项的通知和内容，认真研究和掌握本赛项竞赛的规程、技术规范和赛场要求，指导选手做好赛前的一切技术准备和竞赛准备。</w:t>
      </w:r>
    </w:p>
    <w:p>
      <w:pPr>
        <w:adjustRightInd w:val="0"/>
        <w:snapToGrid w:val="0"/>
        <w:spacing w:line="480" w:lineRule="exact"/>
        <w:jc w:val="left"/>
        <w:rPr>
          <w:rFonts w:ascii="仿宋" w:hAnsi="仿宋" w:eastAsia="仿宋" w:cs="Times New Roman"/>
          <w:sz w:val="28"/>
          <w:szCs w:val="28"/>
        </w:rPr>
      </w:pPr>
      <w:r>
        <w:rPr>
          <w:rFonts w:hint="eastAsia" w:ascii="仿宋" w:hAnsi="仿宋" w:eastAsia="仿宋" w:cs="仿宋"/>
          <w:kern w:val="0"/>
          <w:sz w:val="28"/>
          <w:szCs w:val="28"/>
        </w:rPr>
        <w:t>（二）</w:t>
      </w:r>
      <w:r>
        <w:rPr>
          <w:rFonts w:hint="eastAsia" w:ascii="仿宋" w:hAnsi="仿宋" w:eastAsia="仿宋" w:cs="仿宋"/>
          <w:sz w:val="28"/>
          <w:szCs w:val="28"/>
        </w:rPr>
        <w:t>参赛选手须知</w:t>
      </w:r>
    </w:p>
    <w:p>
      <w:pPr>
        <w:adjustRightInd w:val="0"/>
        <w:snapToGrid w:val="0"/>
        <w:spacing w:line="480" w:lineRule="exact"/>
        <w:ind w:firstLine="560" w:firstLineChars="200"/>
        <w:jc w:val="left"/>
        <w:rPr>
          <w:rFonts w:ascii="仿宋" w:hAnsi="仿宋" w:eastAsia="仿宋" w:cs="Times New Roman"/>
          <w:sz w:val="28"/>
          <w:szCs w:val="28"/>
        </w:rPr>
      </w:pPr>
      <w:r>
        <w:rPr>
          <w:rFonts w:ascii="仿宋" w:hAnsi="仿宋" w:eastAsia="仿宋" w:cs="仿宋"/>
          <w:sz w:val="28"/>
          <w:szCs w:val="28"/>
        </w:rPr>
        <w:t>1.</w:t>
      </w:r>
      <w:r>
        <w:rPr>
          <w:rFonts w:hint="eastAsia" w:ascii="仿宋" w:hAnsi="仿宋" w:eastAsia="仿宋" w:cs="仿宋"/>
          <w:sz w:val="28"/>
          <w:szCs w:val="28"/>
        </w:rPr>
        <w:t>参赛选手应按有关要求如实填报个人信息，否则取消竞赛资格。</w:t>
      </w:r>
    </w:p>
    <w:p>
      <w:pPr>
        <w:adjustRightInd w:val="0"/>
        <w:snapToGrid w:val="0"/>
        <w:spacing w:line="480" w:lineRule="exact"/>
        <w:ind w:firstLine="560" w:firstLineChars="200"/>
        <w:jc w:val="left"/>
        <w:rPr>
          <w:rFonts w:ascii="仿宋" w:hAnsi="仿宋" w:eastAsia="仿宋" w:cs="Times New Roman"/>
          <w:sz w:val="28"/>
          <w:szCs w:val="28"/>
        </w:rPr>
      </w:pPr>
      <w:r>
        <w:rPr>
          <w:rFonts w:ascii="仿宋" w:hAnsi="仿宋" w:eastAsia="仿宋" w:cs="仿宋"/>
          <w:sz w:val="28"/>
          <w:szCs w:val="28"/>
        </w:rPr>
        <w:t>2.</w:t>
      </w:r>
      <w:r>
        <w:rPr>
          <w:rFonts w:hint="eastAsia" w:ascii="仿宋" w:hAnsi="仿宋" w:eastAsia="仿宋" w:cs="仿宋"/>
          <w:sz w:val="28"/>
          <w:szCs w:val="28"/>
        </w:rPr>
        <w:t>参赛选手凭统一印制的参赛证和有效身份证件参加竞赛，</w:t>
      </w:r>
      <w:r>
        <w:rPr>
          <w:rFonts w:hint="eastAsia" w:ascii="仿宋" w:hAnsi="仿宋" w:eastAsia="仿宋" w:cs="仿宋"/>
          <w:kern w:val="0"/>
          <w:sz w:val="28"/>
          <w:szCs w:val="28"/>
        </w:rPr>
        <w:t>在安排的时间内熟悉场地和测试自备电脑，竞赛日不再接受参赛选手电脑的测试工作</w:t>
      </w:r>
      <w:r>
        <w:rPr>
          <w:rFonts w:hint="eastAsia" w:ascii="仿宋" w:hAnsi="仿宋" w:eastAsia="仿宋" w:cs="仿宋"/>
          <w:sz w:val="28"/>
          <w:szCs w:val="28"/>
        </w:rPr>
        <w:t>。</w:t>
      </w:r>
    </w:p>
    <w:p>
      <w:pPr>
        <w:adjustRightInd w:val="0"/>
        <w:snapToGrid w:val="0"/>
        <w:spacing w:line="480" w:lineRule="exact"/>
        <w:ind w:firstLine="560" w:firstLineChars="200"/>
        <w:jc w:val="left"/>
        <w:rPr>
          <w:rFonts w:ascii="仿宋" w:hAnsi="仿宋" w:eastAsia="仿宋" w:cs="Times New Roman"/>
          <w:sz w:val="28"/>
          <w:szCs w:val="28"/>
        </w:rPr>
      </w:pPr>
      <w:r>
        <w:rPr>
          <w:rFonts w:ascii="仿宋" w:hAnsi="仿宋" w:eastAsia="仿宋" w:cs="仿宋"/>
          <w:sz w:val="28"/>
          <w:szCs w:val="28"/>
        </w:rPr>
        <w:t>3.</w:t>
      </w:r>
      <w:r>
        <w:rPr>
          <w:rFonts w:hint="eastAsia" w:ascii="仿宋" w:hAnsi="仿宋" w:eastAsia="仿宋" w:cs="仿宋"/>
          <w:sz w:val="28"/>
          <w:szCs w:val="28"/>
        </w:rPr>
        <w:t>参赛选手应认真学习领会本次竞赛相关文件，自觉遵守大赛纪律，服从指挥，听从安排，文明参赛。</w:t>
      </w:r>
    </w:p>
    <w:p>
      <w:pPr>
        <w:adjustRightInd w:val="0"/>
        <w:snapToGrid w:val="0"/>
        <w:spacing w:line="480" w:lineRule="exact"/>
        <w:ind w:firstLine="560" w:firstLineChars="200"/>
        <w:jc w:val="left"/>
        <w:rPr>
          <w:rFonts w:ascii="仿宋" w:hAnsi="仿宋" w:eastAsia="仿宋" w:cs="Times New Roman"/>
          <w:sz w:val="28"/>
          <w:szCs w:val="28"/>
        </w:rPr>
      </w:pPr>
      <w:r>
        <w:rPr>
          <w:rFonts w:ascii="仿宋" w:hAnsi="仿宋" w:eastAsia="仿宋" w:cs="仿宋"/>
          <w:sz w:val="28"/>
          <w:szCs w:val="28"/>
        </w:rPr>
        <w:t>4.</w:t>
      </w:r>
      <w:r>
        <w:rPr>
          <w:rFonts w:hint="eastAsia" w:ascii="仿宋" w:hAnsi="仿宋" w:eastAsia="仿宋" w:cs="仿宋"/>
          <w:sz w:val="28"/>
          <w:szCs w:val="28"/>
        </w:rPr>
        <w:t>参赛选手请勿携带与竞赛无关的电子设备、通讯设备、纸张及其他资料与用品。选手不得身着或佩戴带由所在院校标识的服装或徽章进入赛场。</w:t>
      </w:r>
    </w:p>
    <w:p>
      <w:pPr>
        <w:adjustRightInd w:val="0"/>
        <w:snapToGrid w:val="0"/>
        <w:spacing w:line="480" w:lineRule="exact"/>
        <w:ind w:firstLine="560" w:firstLineChars="200"/>
        <w:jc w:val="left"/>
        <w:rPr>
          <w:rFonts w:ascii="仿宋" w:hAnsi="仿宋" w:eastAsia="仿宋" w:cs="Times New Roman"/>
          <w:sz w:val="28"/>
          <w:szCs w:val="28"/>
        </w:rPr>
      </w:pPr>
      <w:r>
        <w:rPr>
          <w:rFonts w:hint="eastAsia" w:ascii="仿宋" w:hAnsi="仿宋" w:eastAsia="仿宋" w:cs="仿宋"/>
          <w:kern w:val="0"/>
          <w:sz w:val="28"/>
          <w:szCs w:val="28"/>
        </w:rPr>
        <w:t>5</w:t>
      </w:r>
      <w:r>
        <w:rPr>
          <w:rFonts w:ascii="仿宋" w:hAnsi="仿宋" w:eastAsia="仿宋" w:cs="仿宋"/>
          <w:kern w:val="0"/>
          <w:sz w:val="28"/>
          <w:szCs w:val="28"/>
        </w:rPr>
        <w:t>.</w:t>
      </w:r>
      <w:r>
        <w:rPr>
          <w:rFonts w:hint="eastAsia" w:ascii="仿宋" w:hAnsi="仿宋" w:eastAsia="仿宋" w:cs="仿宋"/>
          <w:sz w:val="28"/>
          <w:szCs w:val="28"/>
        </w:rPr>
        <w:t>参赛选手须在确认竞赛内容和现场设备等无误后开始竞赛。在竞赛过程中，如有疑问，参赛选手应举手示意，赛场裁判应按照有关要求及时予以答疑。如遇设备或软件等故障，项目裁判、技术人员等应及时予以解决。确因计算机软件或硬件故障，致使操作无法继续的，经项目裁判长确认，予以启用备用计算机。如遇身体不适，参赛选手应举手示意，现场医务人员按应急预案救治。</w:t>
      </w:r>
    </w:p>
    <w:p>
      <w:pPr>
        <w:adjustRightInd w:val="0"/>
        <w:snapToGrid w:val="0"/>
        <w:spacing w:line="480" w:lineRule="exact"/>
        <w:ind w:firstLine="560" w:firstLineChars="200"/>
        <w:jc w:val="left"/>
        <w:rPr>
          <w:rFonts w:ascii="仿宋" w:hAnsi="仿宋" w:eastAsia="仿宋" w:cs="Times New Roman"/>
          <w:sz w:val="28"/>
          <w:szCs w:val="28"/>
        </w:rPr>
      </w:pPr>
      <w:r>
        <w:rPr>
          <w:rFonts w:hint="eastAsia" w:ascii="仿宋" w:hAnsi="仿宋" w:eastAsia="仿宋" w:cs="仿宋"/>
          <w:sz w:val="28"/>
          <w:szCs w:val="28"/>
        </w:rPr>
        <w:t>6</w:t>
      </w:r>
      <w:r>
        <w:rPr>
          <w:rFonts w:ascii="仿宋" w:hAnsi="仿宋" w:eastAsia="仿宋" w:cs="仿宋"/>
          <w:sz w:val="28"/>
          <w:szCs w:val="28"/>
        </w:rPr>
        <w:t>.</w:t>
      </w:r>
      <w:r>
        <w:rPr>
          <w:rFonts w:hint="eastAsia" w:ascii="仿宋" w:hAnsi="仿宋" w:eastAsia="仿宋" w:cs="仿宋"/>
          <w:sz w:val="28"/>
          <w:szCs w:val="28"/>
        </w:rPr>
        <w:t>各参赛选手必须按规范要求操作竞赛设备。一旦出现较严重的安全风险预兆，经总裁判长批准后将立即取消其参赛资格。</w:t>
      </w:r>
    </w:p>
    <w:p>
      <w:pPr>
        <w:adjustRightInd w:val="0"/>
        <w:snapToGrid w:val="0"/>
        <w:spacing w:line="480" w:lineRule="exact"/>
        <w:ind w:firstLine="560" w:firstLineChars="200"/>
        <w:jc w:val="left"/>
        <w:rPr>
          <w:rFonts w:ascii="仿宋" w:hAnsi="仿宋" w:eastAsia="仿宋" w:cs="Times New Roman"/>
          <w:sz w:val="28"/>
          <w:szCs w:val="28"/>
        </w:rPr>
      </w:pPr>
      <w:r>
        <w:rPr>
          <w:rFonts w:hint="eastAsia" w:ascii="仿宋" w:hAnsi="仿宋" w:eastAsia="仿宋" w:cs="仿宋"/>
          <w:sz w:val="28"/>
          <w:szCs w:val="28"/>
        </w:rPr>
        <w:t>7</w:t>
      </w:r>
      <w:r>
        <w:rPr>
          <w:rFonts w:ascii="仿宋" w:hAnsi="仿宋" w:eastAsia="仿宋" w:cs="仿宋"/>
          <w:sz w:val="28"/>
          <w:szCs w:val="28"/>
        </w:rPr>
        <w:t>.</w:t>
      </w:r>
      <w:r>
        <w:rPr>
          <w:rFonts w:hint="eastAsia" w:ascii="仿宋" w:hAnsi="仿宋" w:eastAsia="仿宋" w:cs="仿宋"/>
          <w:kern w:val="0"/>
          <w:sz w:val="28"/>
          <w:szCs w:val="28"/>
        </w:rPr>
        <w:t>竞赛根据裁判下达的开始或结束指令正式开始或结束竞赛。竞赛过程中，参赛选手须严格遵守赛场纪律，接受裁判的监督和指令。严重违反赛场纪律的，裁判有权决定中止该队竞赛，或判定已取得的成绩作废；</w:t>
      </w:r>
      <w:r>
        <w:rPr>
          <w:rFonts w:hint="eastAsia" w:ascii="仿宋" w:hAnsi="仿宋" w:eastAsia="仿宋" w:cs="仿宋"/>
          <w:sz w:val="28"/>
          <w:szCs w:val="28"/>
        </w:rPr>
        <w:t>竞赛时间终了，选手应全结束操作，经工作人员核实比赛提交文件后可离开赛场，离开赛场时不得带走任何资料。</w:t>
      </w:r>
    </w:p>
    <w:p>
      <w:pPr>
        <w:adjustRightInd w:val="0"/>
        <w:snapToGrid w:val="0"/>
        <w:spacing w:line="480" w:lineRule="exact"/>
        <w:ind w:firstLine="560" w:firstLineChars="200"/>
        <w:jc w:val="left"/>
        <w:rPr>
          <w:rFonts w:ascii="仿宋" w:hAnsi="仿宋" w:eastAsia="仿宋" w:cs="Times New Roman"/>
          <w:sz w:val="28"/>
          <w:szCs w:val="28"/>
        </w:rPr>
      </w:pPr>
      <w:r>
        <w:rPr>
          <w:rFonts w:hint="eastAsia" w:ascii="仿宋" w:hAnsi="仿宋" w:eastAsia="仿宋" w:cs="仿宋"/>
          <w:sz w:val="28"/>
          <w:szCs w:val="28"/>
        </w:rPr>
        <w:t>8</w:t>
      </w:r>
      <w:r>
        <w:rPr>
          <w:rFonts w:ascii="仿宋" w:hAnsi="仿宋" w:eastAsia="仿宋" w:cs="仿宋"/>
          <w:sz w:val="28"/>
          <w:szCs w:val="28"/>
        </w:rPr>
        <w:t>.</w:t>
      </w:r>
      <w:r>
        <w:rPr>
          <w:rFonts w:hint="eastAsia" w:ascii="仿宋" w:hAnsi="仿宋" w:eastAsia="仿宋" w:cs="仿宋"/>
          <w:sz w:val="28"/>
          <w:szCs w:val="28"/>
        </w:rPr>
        <w:t>在竞赛期间，未经执委会的批准，参赛选手不得接受其他单位和个人进行的与竞赛内容相关的采访。参赛选手不得将竞赛的相关信息私自公布。</w:t>
      </w:r>
    </w:p>
    <w:p>
      <w:pPr>
        <w:adjustRightInd w:val="0"/>
        <w:snapToGrid w:val="0"/>
        <w:spacing w:line="480" w:lineRule="exact"/>
        <w:jc w:val="left"/>
        <w:rPr>
          <w:rFonts w:ascii="仿宋" w:hAnsi="仿宋" w:eastAsia="仿宋" w:cs="Times New Roman"/>
          <w:sz w:val="28"/>
          <w:szCs w:val="28"/>
        </w:rPr>
      </w:pPr>
      <w:r>
        <w:rPr>
          <w:rFonts w:hint="eastAsia" w:ascii="仿宋" w:hAnsi="仿宋" w:eastAsia="仿宋" w:cs="仿宋"/>
          <w:kern w:val="0"/>
          <w:sz w:val="28"/>
          <w:szCs w:val="28"/>
        </w:rPr>
        <w:t>（三）工作人员须知</w:t>
      </w:r>
    </w:p>
    <w:p>
      <w:pPr>
        <w:pStyle w:val="15"/>
        <w:spacing w:line="480" w:lineRule="exact"/>
        <w:ind w:firstLine="560"/>
        <w:rPr>
          <w:rFonts w:ascii="仿宋" w:hAnsi="仿宋" w:eastAsia="仿宋" w:cs="Times New Roman"/>
          <w:sz w:val="28"/>
          <w:szCs w:val="28"/>
        </w:rPr>
      </w:pPr>
      <w:r>
        <w:rPr>
          <w:rFonts w:hint="eastAsia" w:ascii="仿宋" w:hAnsi="仿宋" w:eastAsia="仿宋" w:cs="仿宋"/>
          <w:sz w:val="28"/>
          <w:szCs w:val="28"/>
        </w:rPr>
        <w:t>裁判应公平、公开、公正的处理比赛过程中相关事宜。</w:t>
      </w:r>
    </w:p>
    <w:p>
      <w:pPr>
        <w:pStyle w:val="15"/>
        <w:adjustRightInd w:val="0"/>
        <w:snapToGrid w:val="0"/>
        <w:spacing w:line="480" w:lineRule="exact"/>
        <w:ind w:firstLine="560"/>
        <w:jc w:val="left"/>
        <w:rPr>
          <w:rFonts w:ascii="仿宋" w:hAnsi="仿宋" w:eastAsia="仿宋" w:cs="Times New Roman"/>
          <w:sz w:val="28"/>
          <w:szCs w:val="28"/>
        </w:rPr>
      </w:pPr>
      <w:r>
        <w:rPr>
          <w:rFonts w:ascii="仿宋" w:hAnsi="仿宋" w:eastAsia="仿宋" w:cs="仿宋"/>
          <w:sz w:val="28"/>
          <w:szCs w:val="28"/>
        </w:rPr>
        <w:t>1.</w:t>
      </w:r>
      <w:r>
        <w:rPr>
          <w:rFonts w:hint="eastAsia" w:ascii="仿宋" w:hAnsi="仿宋" w:eastAsia="仿宋" w:cs="仿宋"/>
          <w:sz w:val="28"/>
          <w:szCs w:val="28"/>
        </w:rPr>
        <w:t>裁判长对整个比赛过程和结果负责，确保竞赛顺利实施。</w:t>
      </w:r>
    </w:p>
    <w:p>
      <w:pPr>
        <w:pStyle w:val="15"/>
        <w:adjustRightInd w:val="0"/>
        <w:snapToGrid w:val="0"/>
        <w:spacing w:line="480" w:lineRule="exact"/>
        <w:ind w:firstLine="560"/>
        <w:jc w:val="left"/>
        <w:rPr>
          <w:rFonts w:ascii="仿宋" w:hAnsi="仿宋" w:eastAsia="仿宋" w:cs="Times New Roman"/>
          <w:sz w:val="28"/>
          <w:szCs w:val="28"/>
        </w:rPr>
      </w:pPr>
      <w:r>
        <w:rPr>
          <w:rFonts w:ascii="仿宋" w:hAnsi="仿宋" w:eastAsia="仿宋" w:cs="仿宋"/>
          <w:sz w:val="28"/>
          <w:szCs w:val="28"/>
        </w:rPr>
        <w:t>2.</w:t>
      </w:r>
      <w:r>
        <w:rPr>
          <w:rFonts w:hint="eastAsia" w:ascii="仿宋" w:hAnsi="仿宋" w:eastAsia="仿宋" w:cs="仿宋"/>
          <w:sz w:val="28"/>
          <w:szCs w:val="28"/>
        </w:rPr>
        <w:t>裁判和协办单位技术支持人员在比赛期间不得泄露任何与比赛有关的须保密的内容。</w:t>
      </w:r>
    </w:p>
    <w:p>
      <w:pPr>
        <w:pStyle w:val="15"/>
        <w:adjustRightInd w:val="0"/>
        <w:snapToGrid w:val="0"/>
        <w:spacing w:line="480" w:lineRule="exact"/>
        <w:ind w:firstLine="560"/>
        <w:jc w:val="left"/>
        <w:rPr>
          <w:rFonts w:ascii="仿宋" w:hAnsi="仿宋" w:eastAsia="仿宋" w:cs="Times New Roman"/>
          <w:sz w:val="28"/>
          <w:szCs w:val="28"/>
        </w:rPr>
      </w:pPr>
      <w:r>
        <w:rPr>
          <w:rFonts w:ascii="仿宋" w:hAnsi="仿宋" w:eastAsia="仿宋" w:cs="仿宋"/>
          <w:sz w:val="28"/>
          <w:szCs w:val="28"/>
        </w:rPr>
        <w:t>3.</w:t>
      </w:r>
      <w:r>
        <w:rPr>
          <w:rFonts w:hint="eastAsia" w:ascii="仿宋" w:hAnsi="仿宋" w:eastAsia="仿宋" w:cs="仿宋"/>
          <w:sz w:val="28"/>
          <w:szCs w:val="28"/>
        </w:rPr>
        <w:t>协办单位技术支持人员须听从裁判长的指挥，协助保障比赛顺利进行。</w:t>
      </w:r>
    </w:p>
    <w:p>
      <w:pPr>
        <w:adjustRightInd w:val="0"/>
        <w:snapToGrid w:val="0"/>
        <w:spacing w:line="480" w:lineRule="exact"/>
        <w:jc w:val="left"/>
        <w:rPr>
          <w:rFonts w:ascii="仿宋" w:hAnsi="仿宋" w:eastAsia="仿宋" w:cs="Times New Roman"/>
          <w:sz w:val="28"/>
          <w:szCs w:val="28"/>
        </w:rPr>
      </w:pPr>
    </w:p>
    <w:p>
      <w:pPr>
        <w:snapToGrid w:val="0"/>
        <w:spacing w:line="560" w:lineRule="exact"/>
        <w:ind w:firstLine="600" w:firstLineChars="200"/>
        <w:rPr>
          <w:rFonts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十四、其他</w:t>
      </w:r>
    </w:p>
    <w:p>
      <w:pPr>
        <w:snapToGrid w:val="0"/>
        <w:spacing w:line="560" w:lineRule="exact"/>
        <w:ind w:firstLine="600" w:firstLineChars="200"/>
        <w:rPr>
          <w:rFonts w:ascii="Arial Narrow" w:hAnsi="Arial Narrow" w:eastAsia="仿宋_GB2312" w:cs="Arial"/>
          <w:color w:val="000000" w:themeColor="text1"/>
          <w:sz w:val="30"/>
          <w:szCs w:val="30"/>
          <w14:textFill>
            <w14:solidFill>
              <w14:schemeClr w14:val="tx1"/>
            </w14:solidFill>
          </w14:textFill>
        </w:rPr>
      </w:pPr>
      <w:r>
        <w:rPr>
          <w:rFonts w:hint="eastAsia" w:ascii="Arial Narrow" w:hAnsi="Arial Narrow" w:eastAsia="仿宋_GB2312" w:cs="Arial"/>
          <w:color w:val="000000" w:themeColor="text1"/>
          <w:sz w:val="30"/>
          <w:szCs w:val="30"/>
          <w14:textFill>
            <w14:solidFill>
              <w14:schemeClr w14:val="tx1"/>
            </w14:solidFill>
          </w14:textFill>
        </w:rPr>
        <w:t>附件：样题及样例。</w:t>
      </w:r>
    </w:p>
    <w:p>
      <w:pPr>
        <w:pStyle w:val="2"/>
        <w:spacing w:before="156"/>
        <w:rPr>
          <w:rFonts w:cs="Times New Roman"/>
        </w:rPr>
      </w:pPr>
      <w:r>
        <w:rPr>
          <w:rFonts w:cs="Times New Roman"/>
        </w:rPr>
        <w:br w:type="page"/>
      </w:r>
    </w:p>
    <w:p>
      <w:pPr>
        <w:snapToGrid w:val="0"/>
        <w:spacing w:line="560" w:lineRule="exac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附件：样题及样例</w:t>
      </w:r>
    </w:p>
    <w:p>
      <w:pPr>
        <w:numPr>
          <w:ilvl w:val="0"/>
          <w:numId w:val="4"/>
        </w:numPr>
        <w:ind w:firstLine="6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专业知识问答</w:t>
      </w:r>
    </w:p>
    <w:p>
      <w:pPr>
        <w:spacing w:line="560" w:lineRule="exact"/>
        <w:ind w:firstLine="6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单选题：（共100题，每题1分，计100分）</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装配式结构的设计应符合现行国家标准《混凝土结构设计规范》GB50010的基本要求，应符合的规定错误的是（）</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应采取有效措施加强结构的整体性</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装配式结构宜采用高强混凝土、高强钢筋</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装配式结构的节点和接缝应受力明确、结构可靠，并应满足承载力、延性和耐久性等要求。</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应根据墙体厚度确定结构的整体计算模型</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答案：D</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抗震设防的装配式结构，应按现行国家标准（ ）确定抗震设防类别及抗震设防标准</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建筑工程抗震设防分类标准</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混凝土结构设计规范</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建筑抗震设计规范</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建筑物防雷设计规范</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装配式结构中，预制构件的连接部位宜设置在结构受力较小的部位，其尺寸和性状应符合的规定错误的是（）</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应满足建筑使用功能、模数、标准化要求，应进行优化设计</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应根据预制构件的功能和安装部位，加工制作及施工精度要求。</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应确保构件美观</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应满足制作、运输、堆放、安装及质量控制要求</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 C</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预制外墙板的接缝防水薄弱部位宜采用材料防水和构造防水相结合的做法，应符合的规定错误的是（）</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墙板水平接缝宜采用高低缝或企口缝构造</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墙板竖缝可采用平口或槽口构造</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可以刷防水涂料</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当板缝空腔需设置导水管排水时，板缝内侧应增设气密条密封构造。</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装配整体式剪力墙结构，在规定的水平力作用下，当预制剪力墙构件底部承担的总剪力大于该层总建立的（）时，其最大适用高度应适当降低。</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30%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40%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50%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60%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高层装配整体式结构应符合的规定不含（）</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宜设置地下室，地下室宜采用现浇混凝土</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剪力墙结构底部加强部位的剪力墙宜采用现浇混凝土</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宜设置地下室，地下室宜采用装配式混凝土</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框架结构首层柱宜采用现浇混凝土，顶层宜采用现浇楼盖结构。</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预制构件在运输、吊运时，动力系数宜取（）</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1。2</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1。5</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1.8</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预制构件进行脱模验算时，等效静力荷载标准值不宜小于构件自重标准值得（）倍</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1。2</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1。5</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1。8</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当同一层内既有预制又有现浇抗侧力构件时，地震设计状况下宜对现浇抗侧力构件在地震作用下的弯矩和剪力进行（）</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适当放大</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适当减小</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不变</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不影响</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多层装配式剪力墙结构，层间最大位移与层高之比限值（）</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1/550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1/800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1/1000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1/1200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答案：D</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装配整体式剪力墙结构、装配整体式部分框支剪力墙结构，层间最大位移与层高之比限值（）</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1/550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1/800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1/1000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1/1200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装配整体式框架结构，层间最大位移与层高之比的限值（）</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1/550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1/800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1/1000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1/1200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当预制构件中钢筋的混凝土保护层厚度大于（）时，宜对钢筋的混凝土保护层采取有效的构造措施。</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30mm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40mm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50mm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60mm</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装配式结构中，节点及接缝处的纵向钢筋连接，不宜选用（）</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机械连接</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套筒灌浆连接</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浆锚搭接连接</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闪光对焊</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答案：D</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预制剪力墙中钢筋接头处套筒外侧钢筋的混凝土保护层厚度不应小于（）</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15mm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25mm</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直径大于（）的钢筋不宜采用浆锚搭接连接。</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16mm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18mm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22mm</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预制梁断面应设置键槽，键槽的深度不宜小于（）</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30mm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40mm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50mm</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键槽的宽度不宜小于深度的3倍，且不宜大于深度的（）倍</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7</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8</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9</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10</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答案：D</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当不贯通时槽口距离截面边缘不宜小于（）</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30mm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40mm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50mm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60mm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8度抗震设防烈度下，预制楼梯在支撑构件上的最小搁置长度（）</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75</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80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90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100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答案：D</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叠合板的预制板厚度不宜小于（）</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60mm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65mm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70mm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75mm</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当跨度大于（）的叠合板，宜采用桁架钢筋混凝土叠合板。</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3m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4m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5m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6m</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板端支座处，预制板内的纵向受力钢筋宜从板端伸出并锚入支承墙的后浇混凝土中，锚固长度不应小于（）</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5d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8d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10d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15d</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当板底分部钢筋不深入支座时，宜在紧邻预制板顶面的后浇混凝土叠合层中设置附加钢筋，附加钢筋截面面积不宜小于预制板内的同向分部钢筋面积，间距不宜大于（）mm</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400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600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800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接缝处紧邻预制板顶面宜设置垂直于板缝的附加钢筋，附加钢筋深入两侧后浇混凝土叠合层的锚固长度不应小于（）</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5d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10d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15d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18d</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附加钢筋截面面积不宜小于预制板中该方向钢筋面积，钢筋直径不宜小于（）mm</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6</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8</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12</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当叠合板接缝采用后浇带形式时，后浇带宽度不宜小于（）</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150mm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200mm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250mm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300mm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桁架钢筋间距不宜大于（）mm</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300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400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500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600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答案：D</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桁架钢筋弦杆混凝土保护层厚度不应小于（）mm</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15</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25</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30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叠合板中抗剪构造钢筋宜采用马镫形状，间距不宜大于（）mm</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300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400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500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马镫钢筋宜伸到叠合板上、下部纵向钢筋处，预埋在预制板内的总长度不应小于（）</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5d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10d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15d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20d</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装配式框架结构中，预制柱的纵向钢筋连接，在房屋高于大于12m或层数大于3层时，宜采用（）练级。</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套筒灌浆</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浆锚搭接</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焊接</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螺栓</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当采用叠合梁式，框架梁的后浇混凝土叠合层厚度不宜小于（）mm</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120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150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180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当采用凹口截面预制梁时，凹口深度不宜小于（）mm</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30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40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50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60</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采用组合封闭箍筋的形式时，开口箍筋上方应做成（）弯钩</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45°</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90°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135°</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180°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叠合梁连接后浇段的箍筋应加密，箍筋间距不应大于5d，且不应大于（）mm</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80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120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150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矩形柱截面宽度或圆柱直径不宜小于（）mm。</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400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450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500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600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柱纵向受力钢筋在柱底采用套筒灌浆连接时，柱箍筋加密区长度不应小于纵向受力钢筋连接区域长度与（）mm之和。</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400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500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600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800</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柱底接缝厚度宜为（）mm</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25</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30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装配整体式框架中，下列说法错误的是（）</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后浇节点区混凝土上表面应设置粗糙面</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后浇节点区混凝土表面应光洁。</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柱纵向受力钢筋应贯穿后浇节点区</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柱底接缝厚度宜为20mm，并应采用灌浆料填实</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短肢剪力墙是指截面厚度不大于（）mm，各肢截面高度与厚度之比的最大值大于4但不大于8的剪力墙。</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250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300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350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预制剪力墙开洞洞口宜居中布置，洞口两侧的墙肢宽度不应小于（）mm</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150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250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300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预制剪力墙的连梁不宜开洞，当需开洞时，洞口宜预埋套管，洞口上、下截面的有效高度不宜小于梁高的1/3，且不宜小于（）mm</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150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250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300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预制剪力墙开有边长小于（）mm的洞口且在结构整体计算中不考虑其影响时，应沿洞口周边配置补强钢筋。</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400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600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800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1000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预制剪力墙当采用套筒灌浆连接时，自套筒底部至套筒顶部并向上延伸（）mm范围内，预制剪力墙的水平分布筋应加密。</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200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300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400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500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一级抗震等级下，剪力墙加密区水平分布钢筋最小直径是（）mm</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6</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8</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10</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12</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端部无边缘构件的预制剪力墙，宜在端部配置2根直径不小于（）mm的竖向构造钢筋。</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12</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14</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16</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18</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当接缝位于纵横墙交接处的构造边缘构件区域时，构造边缘构件采用后浇混凝土的范围是（）</w:t>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≥300mm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≥400mm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≥500mm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全部采用</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 D</w:t>
      </w:r>
    </w:p>
    <w:p>
      <w:pPr>
        <w:numPr>
          <w:ilvl w:val="0"/>
          <w:numId w:val="5"/>
        </w:num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当仅在一面墙上设置后浇段时，后浇段的长度不宜小于（）</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≥300mm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B</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≥400mm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C</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≥500mm</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D</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全部采用</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b/>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w:t>
      </w:r>
      <w:r>
        <w:rPr>
          <w:rFonts w:hint="eastAsia" w:ascii="仿宋" w:hAnsi="仿宋" w:eastAsia="仿宋" w:cs="Arial"/>
          <w:color w:val="000000" w:themeColor="text1"/>
          <w:sz w:val="28"/>
          <w:szCs w:val="28"/>
          <w14:textFill>
            <w14:solidFill>
              <w14:schemeClr w14:val="tx1"/>
            </w14:solidFill>
          </w14:textFill>
        </w:rPr>
        <w:tab/>
      </w:r>
      <w:r>
        <w:rPr>
          <w:rFonts w:hint="eastAsia" w:ascii="仿宋" w:hAnsi="仿宋" w:eastAsia="仿宋" w:cs="Arial"/>
          <w:color w:val="000000" w:themeColor="text1"/>
          <w:sz w:val="28"/>
          <w:szCs w:val="28"/>
          <w14:textFill>
            <w14:solidFill>
              <w14:schemeClr w14:val="tx1"/>
            </w14:solidFill>
          </w14:textFill>
        </w:rPr>
        <w:t>A</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50构造柱混凝土浇筑前，应先在底面上均匀浇筑（）mm厚同配比水泥砂浆。</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A.50   B.100   C.150   D.200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51柱内纵向钢筋采用搭接做法时，在纵向受拉钢筋的搭接长度范围内的箍筋间距不应大于搭接钢筋较小直径的（）倍，且不应大于（）mm。</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A.5    150   B.2    100   C.2    150   D.5   100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答案：D</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52单面搭接焊为钢筋直径的（   ）倍，双面搭接焊为钢筋直径的（   ）倍。</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A.10，15   B.5，10   C.5，5    D.10，5</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答案：D</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53当浇筑高度超过（）时，应采用串筒或溜管使混凝土下落。</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A.4M   B.3M   C.2.5M   D.3.5M</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54土钉墙支护施工中，加强钢筋直径最小不宜低于（）mm。</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A.12   B.16   C.18   D.20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55压桩过程中应检查压力、桩垂直度、接桩间歇时间、桩的链接质量及压入深度。重要工程中应对电焊桩接头做（）的探伤检查。</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A.5%   B.10%   C.20%   D.30%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56水泥砂浆防水层各层应紧密粘合，每层宜连续施工；必须留设施工缝时，应采用阶梯坡形槎，但与阴阳角的距离不得小于（）mm</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A.100   B.200   C.300   D.400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57卷材防水层在结构转角处、变形缝、施工缝、穿墙管等部位应铺贴卷材加强层，加强层宽度不应小于（）mm。</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A.200   B.300   C.500   D.800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58地下连续墙墙体表面平整度，单一或复合墙体允许偏差不超过（）。</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A.30mm   B.50mm   C.80mm   D.100mm</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59模板与混凝土相接触的表面应涂刷（）</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A.机油   B.脱模剂   C.色拉油   D.石蜡</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60下列时间段中，全过程均属于夜间施工的时间段有（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A.20:00-次日4:00   B.21:00-次日6:00   C.22：00-次日4:00   D.22:00-次日7:00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61（）由块体和砂浆砌筑而成的墙、柱作为建筑物主要受力构件的结构。是砖砌体、砌块62砌体和石砌体结构的统称。</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A.框架结构</w:t>
      </w:r>
      <w:r>
        <w:rPr>
          <w:rFonts w:hint="eastAsia" w:ascii="宋体" w:hAnsi="宋体" w:cs="宋体"/>
          <w:color w:val="000000" w:themeColor="text1"/>
          <w:sz w:val="28"/>
          <w:szCs w:val="28"/>
          <w14:textFill>
            <w14:solidFill>
              <w14:schemeClr w14:val="tx1"/>
            </w14:solidFill>
          </w14:textFill>
        </w:rPr>
        <w:t> </w:t>
      </w:r>
      <w:r>
        <w:rPr>
          <w:rFonts w:hint="eastAsia" w:ascii="仿宋" w:hAnsi="仿宋" w:eastAsia="仿宋" w:cs="Arial"/>
          <w:color w:val="000000" w:themeColor="text1"/>
          <w:sz w:val="28"/>
          <w:szCs w:val="28"/>
          <w14:textFill>
            <w14:solidFill>
              <w14:schemeClr w14:val="tx1"/>
            </w14:solidFill>
          </w14:textFill>
        </w:rPr>
        <w:t xml:space="preserve">   B.剪力墙结构   C.钢结构   D.砌体结构</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答案：D</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63宽度超过300mm的洞口上部，应设置（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A.砖过梁    B.素混凝土过梁    C.钢筋混凝土过梁    D.木过梁</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64大体积混凝土宜采用（）</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A.火山灰水泥   B.低热硅酸盐水泥   C.粉煤灰水泥   D.复合水泥</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65当冬期施工时，混凝土拌合物入模温度不应低于（），并应有保温措施</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A.-5℃   B.0℃   C.5℃   D.10℃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66浇筑竖向尺寸较大的结构物时，应分层浇筑，每层浇筑厚度宜控制在（）</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A.200mm～250mm   B.300mm～350mm   C.400mm～450mm   D.500mm～550mm</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67混凝土构件成型后，在强度达到（）以前，不得在构件上面踩踏行走</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A.l.0M</w:t>
      </w:r>
      <w:r>
        <w:rPr>
          <w:rFonts w:ascii="仿宋" w:hAnsi="仿宋" w:eastAsia="仿宋" w:cs="Arial"/>
          <w:color w:val="000000" w:themeColor="text1"/>
          <w:sz w:val="28"/>
          <w:szCs w:val="28"/>
          <w14:textFill>
            <w14:solidFill>
              <w14:schemeClr w14:val="tx1"/>
            </w14:solidFill>
          </w14:textFill>
        </w:rPr>
        <w:t>p</w:t>
      </w:r>
      <w:r>
        <w:rPr>
          <w:rFonts w:hint="eastAsia" w:ascii="仿宋" w:hAnsi="仿宋" w:eastAsia="仿宋" w:cs="Arial"/>
          <w:color w:val="000000" w:themeColor="text1"/>
          <w:sz w:val="28"/>
          <w:szCs w:val="28"/>
          <w14:textFill>
            <w14:solidFill>
              <w14:schemeClr w14:val="tx1"/>
            </w14:solidFill>
          </w14:textFill>
        </w:rPr>
        <w:t>a   B.l.2M</w:t>
      </w:r>
      <w:r>
        <w:rPr>
          <w:rFonts w:ascii="仿宋" w:hAnsi="仿宋" w:eastAsia="仿宋" w:cs="Arial"/>
          <w:color w:val="000000" w:themeColor="text1"/>
          <w:sz w:val="28"/>
          <w:szCs w:val="28"/>
          <w14:textFill>
            <w14:solidFill>
              <w14:schemeClr w14:val="tx1"/>
            </w14:solidFill>
          </w14:textFill>
        </w:rPr>
        <w:t>p</w:t>
      </w:r>
      <w:r>
        <w:rPr>
          <w:rFonts w:hint="eastAsia" w:ascii="仿宋" w:hAnsi="仿宋" w:eastAsia="仿宋" w:cs="Arial"/>
          <w:color w:val="000000" w:themeColor="text1"/>
          <w:sz w:val="28"/>
          <w:szCs w:val="28"/>
          <w14:textFill>
            <w14:solidFill>
              <w14:schemeClr w14:val="tx1"/>
            </w14:solidFill>
          </w14:textFill>
        </w:rPr>
        <w:t>a   C.l.5M</w:t>
      </w:r>
      <w:r>
        <w:rPr>
          <w:rFonts w:ascii="仿宋" w:hAnsi="仿宋" w:eastAsia="仿宋" w:cs="Arial"/>
          <w:color w:val="000000" w:themeColor="text1"/>
          <w:sz w:val="28"/>
          <w:szCs w:val="28"/>
          <w14:textFill>
            <w14:solidFill>
              <w14:schemeClr w14:val="tx1"/>
            </w14:solidFill>
          </w14:textFill>
        </w:rPr>
        <w:t>p</w:t>
      </w:r>
      <w:r>
        <w:rPr>
          <w:rFonts w:hint="eastAsia" w:ascii="仿宋" w:hAnsi="仿宋" w:eastAsia="仿宋" w:cs="Arial"/>
          <w:color w:val="000000" w:themeColor="text1"/>
          <w:sz w:val="28"/>
          <w:szCs w:val="28"/>
          <w14:textFill>
            <w14:solidFill>
              <w14:schemeClr w14:val="tx1"/>
            </w14:solidFill>
          </w14:textFill>
        </w:rPr>
        <w:t>a   D.2.0MPa</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68下列塑料壁纸中，属于特种壁纸的是（）</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A.平光印花壁纸   B.耐水壁纸   C.有光印花壁纸   D.发泡压花壁纸</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 xml:space="preserve">69有图案的壁纸墙布，为确保图案的完整性及其整体的连续性，裱糊时可采用（）。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A.拼接法   B.镶嵌法   C.粘钉法   D.随意搭接</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70软包工程边框宽度、高度允许偏差为（）mm。</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A.0；-1    B.0；-2   C.2；-2   D.3；-3</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 xml:space="preserve">71大于(  )的重型灯具、电扇及其他重型设备严禁安装在吊顶工程的龙骨上。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A.1kg   B.2kg   C.3kg   D.4kg</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72裸露于空气中的连接件及焊缝应进行防腐处理。所有钢筋焊接部位须满刷(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A.防锈漆   B.防腐涂料    C.机油   D.油漆</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73隐蔽工程应在隐蔽前经（ ）验收合格后，才能隐蔽，并形成记录。</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A.监理方   B.业主方   C.施工方   D.验收各方</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74门窗按照材质进行分类，不包括（）</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A.铝合金门窗   B.塑料门窗   C.推拉门窗   D.复合门窗</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75板钢筋安装完毕后，上面（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A.可以放脚手架    B.可以走人   C.不准上人和堆放重   D.可作行车道</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76现浇混凝土结构的模板及支架安装完成后，检查数量（）。</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A.半数检查   B.全数检查   C.1/4检查   D.随机检查</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77建筑面积1万～5万㎡的工程应配备不少于（   ）的专职安全管理人员。</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A.1人   B.2人   C. 3人   D.4人</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78混凝土结构工程子分部检验批应在施工单位自检合格的基础上，由（）组织施工单位项目专业质量检查员、专业工长等进行验收。</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A.项目经理   B.甲方工程师   C.监理工程师   D.施工单位</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79模板的检查数量在同一检验批内，对梁应抽查构件数量的（）</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A.5%   B.8%   C.10%   D.12%</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80模板起拱高度宜为梁、板跨度的（）</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A.1/1000~3/1000   B.2/1000~4/1000   C.1/1000~4/1000   D.2/1000~3/1000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81电梯井口必须设防护栏杆或固定栅门；电梯井内应每隔两层并最多隔（）设一道安全网。</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A.5m   B.10m   C.15m   D.20m</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82剪刀撑斜杆与地面的倾角宜（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 xml:space="preserve">A.45°～75°之间   B.45°～60°之间   C.30°～60°之间   D.30°～75°之间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83按照生产安全事故造成的人员伤亡或直接经济损失分类，可分为（）</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A.重大事故、较大事故、一般事故、轻微事故   B.特别重大事故、重大事故、较大事故、一般事故    C.死亡事故、重伤事故、轻伤事故   D.重大伤亡事故、死亡事故、重伤事故、轻伤事故</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84职业伤害事故中，物体打击伤害是指锤击、碎裂、滚石、（）等造成的伤害</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A.落物   B.井壁坍塌   C.高空坠落   D.爆炸引起的物体打</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85安全生产管理制度的核心是（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A.安全生产责任制度   B.安全生产许可证制度</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C.政府安全生产监督检查制度   D.安全生产教育培训制度</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86施工安全隐患一般包括人得而不安全行为、物的不安全状态以及（）</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A.环境不利   B.突发事件   C.不可抗力   D.管理不当</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答案：D</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87厨房、卫生间饰面砖粘贴的的表面平整度允许偏差为（）。</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A.1   B.2   C.3   D.4</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88天然状态下，力学性能满足建筑物的承载和变形能力要求的地层称为（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A.天然地基   B.人工地基   C.深基础   D.毛石基础</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89下面有关建筑物基础埋置深度选择的叙述正确的是（）</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A.当地基中存在承压水时，可不考虑其对基础埋置深度的影响</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B.靠近原有建筑物基础修建的新建筑物，其基础埋置深度宜小于原有建筑物基础埋深</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C.当存在地下水时，基础应尽量埋在水位以下</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D.如果在基础影响范围内有管道或坑沟等地下设施时，基础应放在它们的上面</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90住宅共用楼梯踏步的最小宽度为（   ）m。</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A.0.2   B.0.24   C.0.26   D.0.28</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 xml:space="preserve">91一般建筑雨棚出挑的长度为(   )最为经济。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 xml:space="preserve">A.1600mm   B.1200mm   C.2100mm   D.1800mm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92当独立基础底板长度≥2500mm时，除外侧钢筋外，底板配筋长度可取相应方向底板长度的（ ）倍，交错放置。</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 xml:space="preserve">A.0.5   B.0.75   C.0.9   D.1.5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93柱插入杯口部分的表面应凿毛，柱子与杯口之间的间隙用（ ）先填底部，将柱校正后灌注振实四周。</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 xml:space="preserve">A.比基础混凝土强度高一级的混凝土        B.与基础混凝土强度同等级的混凝土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C.比基础混凝土强度高一级的细石混凝土    D.与基础混凝土强度同等级的细石混凝土</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94注写高杯口独立基础的短柱配筋。具体规定中，以（ ）代表杯壁短柱配筋。</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A.B   B.S   C.O   D.Q</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95高聚合物改性沥青防水卷材施工中，热熔法施工气温不得低于（）℃</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A.0℃    B.-5℃   C.5℃   D.-10℃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答案：D</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 xml:space="preserve">96框架梁中钢筋的混凝土保护层厚度是指(   )。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 xml:space="preserve">A.箍筋外表面至梁表面的距离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B.主筋外表面至梁表面的距离</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C.主筋截面形心至梁表面的距离</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D.主筋内表面至梁表面的距离</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97剪力墙连梁上下部钢筋安装要求，连梁上下部钢筋，弯折锚固长度需满足要求（ ）d。</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A.5   B.10   C.15   D.20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答案：C</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98关于梁侧面纵向构造钢筋和拉筋，当梁宽＞350mm时，拉筋直径为（ ）mm。</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A.6   B.8   C.10   D.12</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99（ ）是指对老式建筑房屋屋面檐口，檐下面横向的槽形排水沟，单独安装的一种有组织排水的装置，用于承接屋面的雨水，然后由竖管引到地面。材料可选用：竹子，铁皮，油毡，预制砼槽板，铝板等。</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A.天沟   B.檐沟   C.檐口   D.雨棚</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100海绵城市中绿色屋顶适用于符合屋顶荷载、防水等条件的平屋顶建筑和坡度（）的坡屋顶建筑。</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A.≤10°   B.≤15°   C.≥10°   D.≥15°</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w:t>
      </w:r>
    </w:p>
    <w:p>
      <w:pPr>
        <w:spacing w:line="560" w:lineRule="exact"/>
        <w:ind w:firstLine="6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多选题：（共100题，每题2分，计25分）</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 xml:space="preserve">1施工过程质量检测试验的主要内容应包括（ ）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 xml:space="preserve">A、土方回填  B、地基与基础    C、基坑支护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D、结构工程  E、装饰装修</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答案：ABCDE</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 xml:space="preserve">2检测试验管理制度应包括一下内容（ ）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A、岗位职责            B、现场试样支取及养护管理制度       C、仪器设备管理制度      D、现场检测试验安全管理制度</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E、检测试验报告管理制度</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答案：ABCDE</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3 标准图集15G365-2《预制混凝土剪力墙内墙板》中的预制混凝土内墙板形式有（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A、一个窗洞内墙      B、无洞口内墙      C、固定门垛内墙   D、中间门洞内墙      E、刀把内墙</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答案：BCDE</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4普通混凝土配合比设计的基本要求为（ ）。</w:t>
      </w:r>
    </w:p>
    <w:p>
      <w:pPr>
        <w:spacing w:line="560" w:lineRule="exact"/>
        <w:ind w:left="210" w:leftChars="1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A、满足强度要求     B、满足混凝土抗裂要求    C、满足和易性要求；     D、满足耐久性要求   E、降低成本</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答案：ACDE</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5混凝土配合比设计的三个基本参数为（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 xml:space="preserve">A、单位用水量       B、单位水泥用量          C、水胶比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D、砂率             E、胶凝材料用量</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答案：ACD</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6配制混凝土时，水胶比是由(  )决定。</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A．胶凝材料实测强度    B．混凝土强度    C．耐久性</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D．拌和物的坍落度      E．粗骨料品种</w:t>
      </w:r>
    </w:p>
    <w:p>
      <w:pPr>
        <w:spacing w:line="560" w:lineRule="exact"/>
        <w:ind w:firstLine="280" w:firstLineChars="10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答案：ABCE</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7为了保证混凝土的耐久性，在进行配合比设计时必须控制的指标是（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 xml:space="preserve">A、最小胶凝材料用量   B、合理砂率   C、最大水胶比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D、最大石子用量       E、最大单位用水量</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答案：AC</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8下列调整混凝土拌合物和易性的方法正确的是（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A.当坍落度低于设计要求时，可保持水胶比不变，适当增加水泥浆量或调整砂率。</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B.若坍落度过大，则可在砂率不变的条件下增加砂石用量。</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C.如出现含砂不足、粘聚性和保水性不良时，可适当增大砂率；反之，应减小砂率。</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 xml:space="preserve"> D、当坍落度低于设计要求时，可以适当增加用水量。</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 xml:space="preserve"> E、若坍落度过大，可以增加砂子和石子的用量。</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答案：ABC</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9下列关于叠合楼盖平面布置图的描述正确的是（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A、叠合楼盖平面布置图主要包括预制底板平面布置图、现浇层配筋图、水平后浇带或圈梁布置图。</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B、所有叠合板板块应逐一编号，相同编号的板块可择其一做集中标注，其他仅注写置于圆圈内的板编号。</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C、预制底板平面布置图中只需要标注叠合板编号、预制底板编号。</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D、预制底板为单向板时，需标注板边调节缝和定位；预制底板为双向板时还应标注接缝尺分和定位。</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E、当板面标高不同时，标注底板标高高差，下降为负（—）。</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答案：ABDE</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10板式楼梯主要由（ ）组成。</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A、平台梁    B、梯段斜梁     C、平台板    D、梯段板   E、悬挑梁</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答案：ACD</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11下列预制钢筋混凝土板式楼梯的编号表述正确的是（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A、ST-28-25表示预制混凝土板式双跑楼梯，建筑层高2800mm、楼梯间净宽2500mm。</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B、JT-28-25表示预制混凝土板式剪刀楼梯，建筑层高2800mm、楼梯间净宽2500mm。</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C、ST-29-24表示预制混凝土板式双跑楼梯，建筑层高2900mm、楼梯间净宽2400mm。</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D、ST-30-25表示预制混凝土板式剪刀楼梯，建筑层高3000mm、楼梯间净宽2500mm。</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 xml:space="preserve"> E、JT-29-26表示预制混凝土板式双跑楼梯，建筑层高2900mm、楼梯间净宽2600mm。</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答案：ABC</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12 下列桁架钢筋混凝土叠合板用底板的编号表述正确的是（ ）。</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A、DBD67-3620-2表示为单向受力叠合板用底板，预制底板厚度为60mm，后浇叠合层厚度为70mm，预制底板的标志跨度为3600mm，预制底板的标志宽度为2000mm，底板跨度方向配筋为C8@150。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DBS1-68-3320-31，表示表示双向受力叠合板用底板，拼装位置为中板，预制底板厚度为60mm，后浇叠合层厚度为80mm，预制底板的标志跨度为3300mm，预制底板的标志宽度为2000mm，底板跨度方向配筋为C10@200，底板宽度方向配筋为C8@200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DBS1-67-3620-31表示双向受力叠合板用底板，拼装位置为边板，预制底板厚度为60mm，后浇叠合层厚度为70mm，预制底板的标志跨度为3600mm，预制底板的标志宽度为2000mm，底板跨度方向配筋为C10@200，底板宽度方向配筋为C8@200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DBS2-67-3620-31表示双向受力叠合板用底板，拼装位置为中板，预制底板厚度为60mm，后浇叠合层厚度为70mm，预制底板的标志跨度为3600mm，预制底板的标志宽度为2000mm，底板跨度方向配筋为C10@200，底板宽度方向配筋为C8@200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E、DBD68-3615-2表示为双向受力叠合板用底板，预制底板厚度为60mm，后浇叠合层厚度为80mm，预制底板的标志跨度为3600mm，预制底板的标志宽度为1500mm，底板跨度方向配筋为C8@150。</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答案：ACD</w:t>
      </w:r>
    </w:p>
    <w:p>
      <w:pPr>
        <w:spacing w:line="560" w:lineRule="exact"/>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13外墙板一般采用三明治结构，即（ ）。</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A、结构层  B、加厚层  C、保温层  D、防潮层  E、保护层</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答案：ACE</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14土方开挖施工过程中，应检查（），并随时观测周围的环境变化</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A.平面位置   B.土壤干湿程度</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C.边坡坡度  D.排水</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E.边坡沉降量</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答案：ACD</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15关于沉管扩夯灌注桩施工的说法，正确的是（）</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A.如有地下水或渗水，沉管过程中可采用干硬性混凝土对外管封底。</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B.桩身混凝土宜一次浇筑到位；拔管时内夯管和桩锤施压于外管中的混凝土顶面，边压边拔。</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C.工程施工前进行试成桩，详细记录混凝土的施工情况，作为施工控制依据。</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D.混凝土的坍落度宜采用 50～80mm。</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E.扩夯的目的是增加混凝土桩与土层的摩擦力，从而增加地基承载力。</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答案：ACE</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16破坏后果很严重的下列边坡工程，其安全等级应定为一级（）</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 xml:space="preserve">A.由外倾软弱结构面控制的边坡工程 </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B.工程滑坡地段的边坡工程</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C.边坡塌滑区有重要建筑物的边坡工程</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D.采用新结构、新技术边坡工程</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E.采用岩石喷锚支护的岩质边坡</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答案：ABC</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17下列关于塑料防水板的说法中正确的是（）</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A.铺设塑料防水板前应先铺设缓冲层，缓冲层搭接宽度不应小于50mm</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B.两幅塑料防水板的搭接宽度不应小于100mm</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C.接缝焊接时，塑料防水板的搭接层数不得超过2层</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D.塑料防水板的搭接缝应采用双焊缝，每条焊缝的有效宽度不应小于10mm</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E.分段设置塑料防水板防水层时，无需采用封闭措施</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答案：ABD</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18在基础混凝土浇筑前应先进行(    )工作</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A.浇水浸湿模板   B.清理模板</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C.进行模板预检   D.钢筋的隐蔽工程验收</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 xml:space="preserve">E.填土 </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答案：BCD</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19下列关于金属防水板的说法中正确的是（）</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A.金属防水板适用于抗渗性能要求较高的地下工程</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B.金属防水板应铺设在主体结构的背水面</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C.金属板的拼接应采用焊接</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D.金属板表面有锈蚀、麻点或划痕缺陷时，其深度不得大于该板材厚度的负偏差值</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E.金属板防水层分项工程检验批的抽样检验数量，应按铺设面积每10抽检1，且不得小于2处。</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答案：ACD</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20下列叙述中不是高大模板支架的是（）</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A.支模高度为9m    B.构件跨度为16m</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C.支模高度为7m    D.施工总荷载为20KN/m</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E.施工总荷载为18KN/m</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答案：BCE</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21模板工程应编制专项施工方案，并应进行专家技术论证的是（）</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A.滑模</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B.爬模</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C.高大模板</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D.支模高度5米的模板支撑</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E.钢模</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答案：ABC</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22浇筑混凝土之前，应进行钢筋隐蔽工程验收，其内容包括（）</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A.纵向受力钢筋的牌号、规格</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B.钢筋的连接方式、接头位置、接头数量、复试报告</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C.箍筋的牌号、规格、数量、间距</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D.预埋件的规格、数量、位置</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E.纵向受力钢筋的数量、位置</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答案：ACDE</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23用于检查结构构件混凝土强度的标准养护试件,取样和留置应符合下列要求（）</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A.每拌制100盘且不超过100m</w:t>
      </w:r>
      <w:r>
        <w:rPr>
          <w:rFonts w:hint="eastAsia" w:ascii="宋体" w:hAnsi="宋体" w:cs="宋体"/>
          <w:color w:val="000000" w:themeColor="text1"/>
          <w:sz w:val="28"/>
          <w:szCs w:val="28"/>
          <w14:textFill>
            <w14:solidFill>
              <w14:schemeClr w14:val="tx1"/>
            </w14:solidFill>
          </w14:textFill>
        </w:rPr>
        <w:t>³</w:t>
      </w:r>
      <w:r>
        <w:rPr>
          <w:rFonts w:hint="eastAsia" w:ascii="仿宋" w:hAnsi="仿宋" w:eastAsia="仿宋" w:cs="仿宋"/>
          <w:color w:val="000000" w:themeColor="text1"/>
          <w:sz w:val="28"/>
          <w:szCs w:val="28"/>
          <w14:textFill>
            <w14:solidFill>
              <w14:schemeClr w14:val="tx1"/>
            </w14:solidFill>
          </w14:textFill>
        </w:rPr>
        <w:t>的同一配合比混凝土，取样不得少于一次</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B.每工作班拌制的同一配合比的混凝土不足100盘时，取样不得少于一次</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C.连续浇筑超过1000m3时，同一配合比的混凝土每100m3取样不得少于一次</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D.每一楼层、同一配合比混凝土，取样不得少于一次</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E.每次取样应留置一组试件</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答案：ABD</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24当混凝土结构施工质量不符合要求时，应按下列规定进行处理（）</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A.经返工、返修部件的检验批，应重新进行验收</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B.经有资质的检测单位检测鉴定达到设计要求的检验批，应予以验收</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C.经有资质的检测单位检测鉴定达不到设计要求，但其他设计单位核算并</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确认仍可满足结构安全和使用功能的检验批，可予以验收</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D.经返修或加固处理能够满足结构安全使用要求的分项工程，可根据技术</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处理方案和协商文件进行验收</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E.更换构件部件的检验批，应重新进行验收</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答案：ABDE</w:t>
      </w:r>
    </w:p>
    <w:p>
      <w:pPr>
        <w:pStyle w:val="17"/>
        <w:spacing w:line="560" w:lineRule="exact"/>
        <w:ind w:firstLine="0" w:firstLineChars="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br w:type="page"/>
      </w:r>
    </w:p>
    <w:p>
      <w:pPr>
        <w:rPr>
          <w:rFonts w:ascii="仿宋" w:hAnsi="仿宋" w:eastAsia="仿宋" w:cs="仿宋"/>
          <w:sz w:val="28"/>
          <w:szCs w:val="28"/>
        </w:rPr>
      </w:pPr>
      <w:r>
        <w:rPr>
          <w:rFonts w:hint="eastAsia" w:ascii="仿宋" w:hAnsi="仿宋" w:eastAsia="仿宋" w:cs="仿宋"/>
          <w:sz w:val="28"/>
          <w:szCs w:val="28"/>
        </w:rPr>
        <w:t>实操样例1：屋面防水涂膜施工工艺标准</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59"/>
        <w:gridCol w:w="212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52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子模块</w:t>
            </w:r>
          </w:p>
        </w:tc>
        <w:tc>
          <w:tcPr>
            <w:tcW w:w="1559"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步骤</w:t>
            </w:r>
          </w:p>
        </w:tc>
        <w:tc>
          <w:tcPr>
            <w:tcW w:w="212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操作</w:t>
            </w:r>
          </w:p>
        </w:tc>
        <w:tc>
          <w:tcPr>
            <w:tcW w:w="340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1526" w:type="dxa"/>
            <w:vAlign w:val="center"/>
          </w:tcPr>
          <w:p>
            <w:pPr>
              <w:jc w:val="center"/>
              <w:rPr>
                <w:rFonts w:asciiTheme="minorEastAsia" w:hAnsiTheme="minorEastAsia" w:eastAsiaTheme="minorEastAsia"/>
                <w:sz w:val="24"/>
                <w:szCs w:val="24"/>
              </w:rPr>
            </w:pP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进入</w:t>
            </w:r>
          </w:p>
        </w:tc>
        <w:tc>
          <w:tcPr>
            <w:tcW w:w="21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获取“建筑装饰石材地面铺贴施工仿真操作</w:t>
            </w:r>
            <w:r>
              <w:rPr>
                <w:rFonts w:hint="eastAsia" w:asciiTheme="minorEastAsia" w:hAnsiTheme="minorEastAsia" w:eastAsiaTheme="minorEastAsia"/>
                <w:bCs/>
                <w:sz w:val="24"/>
                <w:szCs w:val="24"/>
              </w:rPr>
              <w:t>模块</w:t>
            </w:r>
            <w:r>
              <w:rPr>
                <w:rFonts w:hint="eastAsia" w:asciiTheme="minorEastAsia" w:hAnsiTheme="minorEastAsia" w:eastAsiaTheme="minorEastAsia"/>
                <w:sz w:val="24"/>
                <w:szCs w:val="24"/>
              </w:rPr>
              <w:t>”</w:t>
            </w:r>
          </w:p>
        </w:tc>
        <w:tc>
          <w:tcPr>
            <w:tcW w:w="340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trPr>
        <w:tc>
          <w:tcPr>
            <w:tcW w:w="1526"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1、施工准备</w:t>
            </w: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技术准备</w:t>
            </w:r>
          </w:p>
        </w:tc>
        <w:tc>
          <w:tcPr>
            <w:tcW w:w="21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在“资料库”内分别获取“施工方案”、“安全技术交底”和“图纸”</w:t>
            </w: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1526" w:type="dxa"/>
            <w:vMerge w:val="continue"/>
            <w:vAlign w:val="center"/>
          </w:tcPr>
          <w:p>
            <w:pPr>
              <w:jc w:val="center"/>
              <w:rPr>
                <w:rFonts w:asciiTheme="minorEastAsia" w:hAnsiTheme="minorEastAsia" w:eastAsiaTheme="minorEastAsia"/>
                <w:sz w:val="24"/>
                <w:szCs w:val="24"/>
              </w:rPr>
            </w:pP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生产准备</w:t>
            </w:r>
          </w:p>
        </w:tc>
        <w:tc>
          <w:tcPr>
            <w:tcW w:w="21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获取材料库获取工程材料</w:t>
            </w: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1526" w:type="dxa"/>
            <w:vMerge w:val="continue"/>
            <w:vAlign w:val="center"/>
          </w:tcPr>
          <w:p>
            <w:pPr>
              <w:jc w:val="center"/>
              <w:rPr>
                <w:rFonts w:asciiTheme="minorEastAsia" w:hAnsiTheme="minorEastAsia" w:eastAsiaTheme="minorEastAsia"/>
                <w:sz w:val="24"/>
                <w:szCs w:val="24"/>
              </w:rPr>
            </w:pP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施工准备</w:t>
            </w:r>
          </w:p>
        </w:tc>
        <w:tc>
          <w:tcPr>
            <w:tcW w:w="2126" w:type="dxa"/>
            <w:vAlign w:val="center"/>
          </w:tcPr>
          <w:p>
            <w:pPr>
              <w:rPr>
                <w:rFonts w:asciiTheme="minorEastAsia" w:hAnsiTheme="minorEastAsia" w:eastAsiaTheme="minorEastAsia"/>
                <w:sz w:val="24"/>
                <w:szCs w:val="24"/>
              </w:rPr>
            </w:pPr>
          </w:p>
          <w:p>
            <w:pPr>
              <w:rPr>
                <w:rFonts w:asciiTheme="minorEastAsia" w:hAnsiTheme="minorEastAsia" w:eastAsiaTheme="minorEastAsia"/>
                <w:sz w:val="24"/>
                <w:szCs w:val="24"/>
              </w:rPr>
            </w:pPr>
            <w:r>
              <w:rPr>
                <w:rFonts w:hint="eastAsia" w:asciiTheme="minorEastAsia" w:hAnsiTheme="minorEastAsia" w:eastAsiaTheme="minorEastAsia"/>
                <w:sz w:val="24"/>
                <w:szCs w:val="24"/>
              </w:rPr>
              <w:t>获取专业图纸</w:t>
            </w: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2、基层处理</w:t>
            </w: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清理基层</w:t>
            </w:r>
          </w:p>
        </w:tc>
        <w:tc>
          <w:tcPr>
            <w:tcW w:w="21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获取笤帚、钢丝刷</w:t>
            </w: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526" w:type="dxa"/>
            <w:vAlign w:val="center"/>
          </w:tcPr>
          <w:p>
            <w:pPr>
              <w:jc w:val="center"/>
              <w:rPr>
                <w:rFonts w:asciiTheme="minorEastAsia" w:hAnsiTheme="minorEastAsia" w:eastAsiaTheme="minorEastAsia"/>
                <w:sz w:val="24"/>
                <w:szCs w:val="24"/>
              </w:rPr>
            </w:pP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弹线找方</w:t>
            </w:r>
          </w:p>
        </w:tc>
        <w:tc>
          <w:tcPr>
            <w:tcW w:w="21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获取钢卷尺、线绳</w:t>
            </w: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3.试拼</w:t>
            </w: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试拼</w:t>
            </w:r>
          </w:p>
        </w:tc>
        <w:tc>
          <w:tcPr>
            <w:tcW w:w="21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获取石材面料</w:t>
            </w: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526" w:type="dxa"/>
            <w:vAlign w:val="center"/>
          </w:tcPr>
          <w:p>
            <w:pPr>
              <w:jc w:val="center"/>
              <w:rPr>
                <w:rFonts w:asciiTheme="minorEastAsia" w:hAnsiTheme="minorEastAsia" w:eastAsiaTheme="minorEastAsia"/>
                <w:sz w:val="24"/>
                <w:szCs w:val="24"/>
              </w:rPr>
            </w:pP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编码</w:t>
            </w:r>
          </w:p>
        </w:tc>
        <w:tc>
          <w:tcPr>
            <w:tcW w:w="21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w:t>
            </w: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1526" w:type="dxa"/>
            <w:vAlign w:val="center"/>
          </w:tcPr>
          <w:p>
            <w:pPr>
              <w:jc w:val="center"/>
              <w:rPr>
                <w:rFonts w:asciiTheme="minorEastAsia" w:hAnsiTheme="minorEastAsia" w:eastAsiaTheme="minorEastAsia"/>
                <w:sz w:val="24"/>
                <w:szCs w:val="24"/>
              </w:rPr>
            </w:pP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铺找平层</w:t>
            </w:r>
          </w:p>
        </w:tc>
        <w:tc>
          <w:tcPr>
            <w:tcW w:w="21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获取砂浆、磨面机、铁抹子</w:t>
            </w: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526" w:type="dxa"/>
            <w:vAlign w:val="center"/>
          </w:tcPr>
          <w:p>
            <w:pPr>
              <w:jc w:val="center"/>
              <w:rPr>
                <w:rFonts w:asciiTheme="minorEastAsia" w:hAnsiTheme="minorEastAsia" w:eastAsiaTheme="minorEastAsia"/>
                <w:sz w:val="24"/>
                <w:szCs w:val="24"/>
              </w:rPr>
            </w:pP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细部做法</w:t>
            </w:r>
          </w:p>
        </w:tc>
        <w:tc>
          <w:tcPr>
            <w:tcW w:w="21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获取砂浆</w:t>
            </w: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526" w:type="dxa"/>
            <w:vAlign w:val="center"/>
          </w:tcPr>
          <w:p>
            <w:pPr>
              <w:jc w:val="center"/>
              <w:rPr>
                <w:rFonts w:asciiTheme="minorEastAsia" w:hAnsiTheme="minorEastAsia" w:eastAsiaTheme="minorEastAsia"/>
                <w:sz w:val="24"/>
                <w:szCs w:val="24"/>
              </w:rPr>
            </w:pP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养护</w:t>
            </w:r>
          </w:p>
        </w:tc>
        <w:tc>
          <w:tcPr>
            <w:tcW w:w="21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获取水管</w:t>
            </w: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5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3、涂抹施工</w:t>
            </w: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面层清理</w:t>
            </w:r>
          </w:p>
        </w:tc>
        <w:tc>
          <w:tcPr>
            <w:tcW w:w="21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获取铲刀</w:t>
            </w: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1526" w:type="dxa"/>
            <w:vAlign w:val="center"/>
          </w:tcPr>
          <w:p>
            <w:pPr>
              <w:rPr>
                <w:rFonts w:asciiTheme="minorEastAsia" w:hAnsiTheme="minorEastAsia" w:eastAsiaTheme="minorEastAsia"/>
                <w:sz w:val="24"/>
                <w:szCs w:val="24"/>
              </w:rPr>
            </w:pP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喷涂基层处理剂</w:t>
            </w:r>
          </w:p>
        </w:tc>
        <w:tc>
          <w:tcPr>
            <w:tcW w:w="21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获取搅拌桶、获取涂膜基层涂剂。</w:t>
            </w: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1526" w:type="dxa"/>
            <w:vAlign w:val="center"/>
          </w:tcPr>
          <w:p>
            <w:pPr>
              <w:rPr>
                <w:rFonts w:asciiTheme="minorEastAsia" w:hAnsiTheme="minorEastAsia" w:eastAsiaTheme="minorEastAsia"/>
                <w:sz w:val="24"/>
                <w:szCs w:val="24"/>
              </w:rPr>
            </w:pP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细部处理</w:t>
            </w:r>
          </w:p>
        </w:tc>
        <w:tc>
          <w:tcPr>
            <w:tcW w:w="21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获取聚氨酯材料、纤维网格布</w:t>
            </w: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1526" w:type="dxa"/>
            <w:vAlign w:val="center"/>
          </w:tcPr>
          <w:p>
            <w:pPr>
              <w:rPr>
                <w:rFonts w:asciiTheme="minorEastAsia" w:hAnsiTheme="minorEastAsia" w:eastAsiaTheme="minorEastAsia"/>
                <w:sz w:val="24"/>
                <w:szCs w:val="24"/>
              </w:rPr>
            </w:pP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喷涂第二遍涂膜</w:t>
            </w:r>
          </w:p>
        </w:tc>
        <w:tc>
          <w:tcPr>
            <w:tcW w:w="21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获取搅拌桶、获取聚氨酯甲乙料</w:t>
            </w:r>
          </w:p>
          <w:p>
            <w:pPr>
              <w:rPr>
                <w:rFonts w:asciiTheme="minorEastAsia" w:hAnsiTheme="minorEastAsia" w:eastAsiaTheme="minorEastAsia"/>
                <w:sz w:val="24"/>
                <w:szCs w:val="24"/>
              </w:rPr>
            </w:pP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trPr>
        <w:tc>
          <w:tcPr>
            <w:tcW w:w="1526" w:type="dxa"/>
            <w:tcBorders>
              <w:bottom w:val="single" w:color="auto" w:sz="4" w:space="0"/>
            </w:tcBorders>
            <w:vAlign w:val="center"/>
          </w:tcPr>
          <w:p>
            <w:pPr>
              <w:rPr>
                <w:rFonts w:asciiTheme="minorEastAsia" w:hAnsiTheme="minorEastAsia" w:eastAsiaTheme="minorEastAsia"/>
                <w:sz w:val="24"/>
                <w:szCs w:val="24"/>
              </w:rPr>
            </w:pPr>
          </w:p>
        </w:tc>
        <w:tc>
          <w:tcPr>
            <w:tcW w:w="1559"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喷涂第三层涂膜（粘贴纤维网格布）</w:t>
            </w:r>
          </w:p>
        </w:tc>
        <w:tc>
          <w:tcPr>
            <w:tcW w:w="2126" w:type="dxa"/>
            <w:tcBorders>
              <w:bottom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获取获取纤维网格布、获取聚氨酯材料</w:t>
            </w:r>
          </w:p>
        </w:tc>
        <w:tc>
          <w:tcPr>
            <w:tcW w:w="3402" w:type="dxa"/>
            <w:tcBorders>
              <w:bottom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1" w:hRule="atLeast"/>
        </w:trPr>
        <w:tc>
          <w:tcPr>
            <w:tcW w:w="1526" w:type="dxa"/>
            <w:tcBorders>
              <w:bottom w:val="single" w:color="auto" w:sz="4" w:space="0"/>
            </w:tcBorders>
            <w:vAlign w:val="center"/>
          </w:tcPr>
          <w:p>
            <w:pPr>
              <w:rPr>
                <w:rFonts w:asciiTheme="minorEastAsia" w:hAnsiTheme="minorEastAsia" w:eastAsiaTheme="minorEastAsia"/>
                <w:sz w:val="24"/>
                <w:szCs w:val="24"/>
              </w:rPr>
            </w:pPr>
          </w:p>
        </w:tc>
        <w:tc>
          <w:tcPr>
            <w:tcW w:w="1559"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喷涂第四、五层涂膜</w:t>
            </w:r>
          </w:p>
        </w:tc>
        <w:tc>
          <w:tcPr>
            <w:tcW w:w="2126" w:type="dxa"/>
            <w:tcBorders>
              <w:bottom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获取聚氨酯涂料</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获取测厚仪</w:t>
            </w:r>
          </w:p>
        </w:tc>
        <w:tc>
          <w:tcPr>
            <w:tcW w:w="3402" w:type="dxa"/>
            <w:tcBorders>
              <w:bottom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1526"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4、储水试验</w:t>
            </w:r>
          </w:p>
        </w:tc>
        <w:tc>
          <w:tcPr>
            <w:tcW w:w="1559"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储水试验</w:t>
            </w:r>
          </w:p>
        </w:tc>
        <w:tc>
          <w:tcPr>
            <w:tcW w:w="2126" w:type="dxa"/>
            <w:tcBorders>
              <w:bottom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获取砂浆、薄膜等</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获取水管</w:t>
            </w:r>
          </w:p>
        </w:tc>
        <w:tc>
          <w:tcPr>
            <w:tcW w:w="3402" w:type="dxa"/>
            <w:tcBorders>
              <w:bottom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5、验收</w:t>
            </w: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验收</w:t>
            </w:r>
          </w:p>
        </w:tc>
        <w:tc>
          <w:tcPr>
            <w:tcW w:w="21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获取资料库获取表格</w:t>
            </w: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6、保护层</w:t>
            </w: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铺设油毡隔离层</w:t>
            </w:r>
          </w:p>
        </w:tc>
        <w:tc>
          <w:tcPr>
            <w:tcW w:w="21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获取油毡</w:t>
            </w: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1526" w:type="dxa"/>
            <w:vAlign w:val="center"/>
          </w:tcPr>
          <w:p>
            <w:pPr>
              <w:jc w:val="center"/>
              <w:rPr>
                <w:rFonts w:asciiTheme="minorEastAsia" w:hAnsiTheme="minorEastAsia" w:eastAsiaTheme="minorEastAsia"/>
                <w:sz w:val="24"/>
                <w:szCs w:val="24"/>
              </w:rPr>
            </w:pP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绑扎钢筋网片</w:t>
            </w:r>
          </w:p>
        </w:tc>
        <w:tc>
          <w:tcPr>
            <w:tcW w:w="21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获取钢筋</w:t>
            </w: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1526" w:type="dxa"/>
            <w:vAlign w:val="center"/>
          </w:tcPr>
          <w:p>
            <w:pPr>
              <w:jc w:val="center"/>
              <w:rPr>
                <w:rFonts w:asciiTheme="minorEastAsia" w:hAnsiTheme="minorEastAsia" w:eastAsiaTheme="minorEastAsia"/>
                <w:sz w:val="24"/>
                <w:szCs w:val="24"/>
              </w:rPr>
            </w:pP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冲筋贴灰饼</w:t>
            </w:r>
          </w:p>
        </w:tc>
        <w:tc>
          <w:tcPr>
            <w:tcW w:w="21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获取钢卷尺、线绳</w:t>
            </w: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1526" w:type="dxa"/>
            <w:vAlign w:val="center"/>
          </w:tcPr>
          <w:p>
            <w:pPr>
              <w:jc w:val="center"/>
              <w:rPr>
                <w:rFonts w:asciiTheme="minorEastAsia" w:hAnsiTheme="minorEastAsia" w:eastAsiaTheme="minorEastAsia"/>
                <w:sz w:val="24"/>
                <w:szCs w:val="24"/>
              </w:rPr>
            </w:pP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分隔缝设置</w:t>
            </w:r>
          </w:p>
        </w:tc>
        <w:tc>
          <w:tcPr>
            <w:tcW w:w="21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获取木条</w:t>
            </w: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1526" w:type="dxa"/>
            <w:vAlign w:val="center"/>
          </w:tcPr>
          <w:p>
            <w:pPr>
              <w:jc w:val="center"/>
              <w:rPr>
                <w:rFonts w:asciiTheme="minorEastAsia" w:hAnsiTheme="minorEastAsia" w:eastAsiaTheme="minorEastAsia"/>
                <w:sz w:val="24"/>
                <w:szCs w:val="24"/>
              </w:rPr>
            </w:pPr>
          </w:p>
        </w:tc>
        <w:tc>
          <w:tcPr>
            <w:tcW w:w="1559"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细石砼保护层</w:t>
            </w:r>
          </w:p>
        </w:tc>
        <w:tc>
          <w:tcPr>
            <w:tcW w:w="2126"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获取甭管砼、磨面机、铁抹子</w:t>
            </w:r>
          </w:p>
        </w:tc>
        <w:tc>
          <w:tcPr>
            <w:tcW w:w="340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获取正确得分0.5分，获取错误不能进行下一步，累计三次错误自动进行下一步，扣除0.5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8613" w:type="dxa"/>
            <w:gridSpan w:val="4"/>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系统自动累计本工艺操作累计得分。</w:t>
            </w:r>
          </w:p>
        </w:tc>
      </w:tr>
    </w:tbl>
    <w:p>
      <w:pPr>
        <w:rPr>
          <w:rFonts w:ascii="仿宋" w:hAnsi="仿宋" w:eastAsia="仿宋" w:cs="仿宋"/>
          <w:sz w:val="30"/>
          <w:szCs w:val="30"/>
        </w:rPr>
      </w:pPr>
      <w:r>
        <w:rPr>
          <w:rFonts w:ascii="仿宋" w:hAnsi="仿宋" w:eastAsia="仿宋" w:cs="仿宋"/>
          <w:sz w:val="30"/>
          <w:szCs w:val="30"/>
        </w:rPr>
        <w:br w:type="page"/>
      </w:r>
    </w:p>
    <w:p>
      <w:pPr>
        <w:snapToGrid w:val="0"/>
        <w:spacing w:line="560" w:lineRule="exact"/>
        <w:jc w:val="left"/>
        <w:rPr>
          <w:rFonts w:ascii="仿宋" w:hAnsi="仿宋" w:eastAsia="仿宋" w:cs="仿宋"/>
          <w:sz w:val="30"/>
          <w:szCs w:val="30"/>
        </w:rPr>
      </w:pPr>
      <w:r>
        <w:rPr>
          <w:rFonts w:hint="eastAsia" w:ascii="仿宋" w:hAnsi="仿宋" w:eastAsia="仿宋" w:cs="仿宋"/>
          <w:sz w:val="30"/>
          <w:szCs w:val="30"/>
        </w:rPr>
        <w:t>样例2：预制剪力墙（外墙）</w:t>
      </w: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18"/>
        <w:gridCol w:w="155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242" w:type="dxa"/>
            <w:vAlign w:val="center"/>
          </w:tcPr>
          <w:p>
            <w:pPr>
              <w:rPr>
                <w:rFonts w:ascii="宋体" w:hAnsi="宋体"/>
                <w:kern w:val="0"/>
                <w:sz w:val="24"/>
                <w:szCs w:val="24"/>
              </w:rPr>
            </w:pPr>
            <w:r>
              <w:rPr>
                <w:rFonts w:hint="eastAsia" w:ascii="宋体" w:hAnsi="宋体"/>
                <w:kern w:val="0"/>
                <w:sz w:val="24"/>
                <w:szCs w:val="24"/>
              </w:rPr>
              <w:t>1.施工放线</w:t>
            </w:r>
          </w:p>
        </w:tc>
        <w:tc>
          <w:tcPr>
            <w:tcW w:w="1418" w:type="dxa"/>
            <w:vAlign w:val="center"/>
          </w:tcPr>
          <w:p>
            <w:pPr>
              <w:rPr>
                <w:rFonts w:ascii="宋体" w:hAnsi="宋体"/>
                <w:kern w:val="0"/>
                <w:sz w:val="24"/>
                <w:szCs w:val="24"/>
              </w:rPr>
            </w:pPr>
          </w:p>
        </w:tc>
        <w:tc>
          <w:tcPr>
            <w:tcW w:w="1559" w:type="dxa"/>
            <w:vAlign w:val="center"/>
          </w:tcPr>
          <w:p>
            <w:pPr>
              <w:rPr>
                <w:rFonts w:ascii="宋体" w:hAnsi="宋体"/>
                <w:kern w:val="0"/>
                <w:sz w:val="24"/>
                <w:szCs w:val="24"/>
              </w:rPr>
            </w:pPr>
            <w:r>
              <w:rPr>
                <w:rFonts w:hint="eastAsia" w:ascii="宋体" w:hAnsi="宋体"/>
                <w:kern w:val="0"/>
                <w:sz w:val="24"/>
                <w:szCs w:val="24"/>
              </w:rPr>
              <w:t>获取钢卷尺</w:t>
            </w:r>
          </w:p>
        </w:tc>
        <w:tc>
          <w:tcPr>
            <w:tcW w:w="4678" w:type="dxa"/>
            <w:vAlign w:val="center"/>
          </w:tcPr>
          <w:p>
            <w:pPr>
              <w:rPr>
                <w:rFonts w:ascii="宋体" w:hAnsi="宋体"/>
                <w:kern w:val="0"/>
                <w:sz w:val="24"/>
                <w:szCs w:val="24"/>
              </w:rPr>
            </w:pPr>
            <w:r>
              <w:rPr>
                <w:rFonts w:hint="eastAsia" w:ascii="宋体" w:hAnsi="宋体"/>
                <w:kern w:val="0"/>
                <w:sz w:val="24"/>
                <w:szCs w:val="24"/>
              </w:rPr>
              <w:t>工具选取正确得0.5分，错误不能进行下一步，累计3次自动进入下一步，扣0.5分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242" w:type="dxa"/>
            <w:vAlign w:val="center"/>
          </w:tcPr>
          <w:p>
            <w:pPr>
              <w:rPr>
                <w:rFonts w:ascii="宋体" w:hAnsi="宋体"/>
                <w:kern w:val="0"/>
                <w:sz w:val="24"/>
                <w:szCs w:val="24"/>
              </w:rPr>
            </w:pPr>
            <w:r>
              <w:rPr>
                <w:rFonts w:hint="eastAsia" w:ascii="宋体" w:hAnsi="宋体"/>
                <w:kern w:val="0"/>
                <w:sz w:val="24"/>
                <w:szCs w:val="24"/>
              </w:rPr>
              <w:t>2.外防护架拆除</w:t>
            </w:r>
          </w:p>
        </w:tc>
        <w:tc>
          <w:tcPr>
            <w:tcW w:w="1418" w:type="dxa"/>
            <w:vAlign w:val="center"/>
          </w:tcPr>
          <w:p>
            <w:pPr>
              <w:rPr>
                <w:rFonts w:ascii="宋体" w:hAnsi="宋体"/>
                <w:kern w:val="0"/>
                <w:sz w:val="24"/>
                <w:szCs w:val="24"/>
              </w:rPr>
            </w:pPr>
          </w:p>
        </w:tc>
        <w:tc>
          <w:tcPr>
            <w:tcW w:w="1559" w:type="dxa"/>
            <w:vAlign w:val="center"/>
          </w:tcPr>
          <w:p>
            <w:pPr>
              <w:rPr>
                <w:rFonts w:ascii="宋体" w:hAnsi="宋体"/>
                <w:kern w:val="0"/>
                <w:sz w:val="24"/>
                <w:szCs w:val="24"/>
              </w:rPr>
            </w:pPr>
            <w:r>
              <w:rPr>
                <w:rFonts w:hint="eastAsia" w:ascii="宋体" w:hAnsi="宋体"/>
                <w:kern w:val="0"/>
                <w:sz w:val="24"/>
                <w:szCs w:val="24"/>
              </w:rPr>
              <w:t>获取外防护架</w:t>
            </w:r>
          </w:p>
        </w:tc>
        <w:tc>
          <w:tcPr>
            <w:tcW w:w="4678" w:type="dxa"/>
            <w:vAlign w:val="center"/>
          </w:tcPr>
          <w:p>
            <w:pPr>
              <w:rPr>
                <w:rFonts w:ascii="宋体" w:hAnsi="宋体"/>
                <w:kern w:val="0"/>
                <w:sz w:val="24"/>
                <w:szCs w:val="24"/>
              </w:rPr>
            </w:pPr>
            <w:r>
              <w:rPr>
                <w:rFonts w:hint="eastAsia" w:ascii="宋体" w:hAnsi="宋体"/>
                <w:kern w:val="0"/>
                <w:sz w:val="24"/>
                <w:szCs w:val="24"/>
              </w:rPr>
              <w:t>工具选取正确得0.5分，错误不能进行下一步，累计3次自动进入下一步，扣0.5分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242" w:type="dxa"/>
            <w:vAlign w:val="center"/>
          </w:tcPr>
          <w:p>
            <w:pPr>
              <w:rPr>
                <w:rFonts w:ascii="宋体" w:hAnsi="宋体"/>
                <w:kern w:val="0"/>
                <w:sz w:val="24"/>
                <w:szCs w:val="24"/>
              </w:rPr>
            </w:pPr>
            <w:r>
              <w:rPr>
                <w:rFonts w:hint="eastAsia" w:ascii="宋体" w:hAnsi="宋体"/>
                <w:kern w:val="0"/>
                <w:sz w:val="24"/>
                <w:szCs w:val="24"/>
              </w:rPr>
              <w:t>3.基层清理</w:t>
            </w:r>
          </w:p>
        </w:tc>
        <w:tc>
          <w:tcPr>
            <w:tcW w:w="1418" w:type="dxa"/>
            <w:vAlign w:val="center"/>
          </w:tcPr>
          <w:p>
            <w:pPr>
              <w:rPr>
                <w:rFonts w:ascii="宋体" w:hAnsi="宋体"/>
                <w:kern w:val="0"/>
                <w:sz w:val="24"/>
                <w:szCs w:val="24"/>
              </w:rPr>
            </w:pPr>
          </w:p>
        </w:tc>
        <w:tc>
          <w:tcPr>
            <w:tcW w:w="1559" w:type="dxa"/>
            <w:vAlign w:val="center"/>
          </w:tcPr>
          <w:p>
            <w:pPr>
              <w:rPr>
                <w:rFonts w:ascii="宋体" w:hAnsi="宋体"/>
                <w:kern w:val="0"/>
                <w:sz w:val="24"/>
                <w:szCs w:val="24"/>
              </w:rPr>
            </w:pPr>
            <w:r>
              <w:rPr>
                <w:rFonts w:hint="eastAsia" w:ascii="宋体" w:hAnsi="宋体"/>
                <w:kern w:val="0"/>
                <w:sz w:val="24"/>
                <w:szCs w:val="24"/>
              </w:rPr>
              <w:t>获取笤帚</w:t>
            </w:r>
          </w:p>
        </w:tc>
        <w:tc>
          <w:tcPr>
            <w:tcW w:w="4678" w:type="dxa"/>
            <w:vAlign w:val="center"/>
          </w:tcPr>
          <w:p>
            <w:pPr>
              <w:rPr>
                <w:rFonts w:ascii="宋体" w:hAnsi="宋体"/>
                <w:kern w:val="0"/>
                <w:sz w:val="24"/>
                <w:szCs w:val="24"/>
              </w:rPr>
            </w:pPr>
            <w:r>
              <w:rPr>
                <w:rFonts w:hint="eastAsia" w:ascii="宋体" w:hAnsi="宋体"/>
                <w:kern w:val="0"/>
                <w:sz w:val="24"/>
                <w:szCs w:val="24"/>
              </w:rPr>
              <w:t>工具选取正确得0.5分，错误不能进行下一步，累计3次自动进入下一步，扣0.5分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242" w:type="dxa"/>
            <w:vAlign w:val="center"/>
          </w:tcPr>
          <w:p>
            <w:pPr>
              <w:rPr>
                <w:rFonts w:ascii="宋体" w:hAnsi="宋体"/>
                <w:kern w:val="0"/>
                <w:sz w:val="24"/>
                <w:szCs w:val="24"/>
              </w:rPr>
            </w:pPr>
            <w:r>
              <w:rPr>
                <w:rFonts w:hint="eastAsia" w:ascii="宋体" w:hAnsi="宋体"/>
                <w:kern w:val="0"/>
                <w:sz w:val="24"/>
                <w:szCs w:val="24"/>
              </w:rPr>
              <w:t>4.钢筋校正</w:t>
            </w:r>
          </w:p>
        </w:tc>
        <w:tc>
          <w:tcPr>
            <w:tcW w:w="1418" w:type="dxa"/>
            <w:vAlign w:val="center"/>
          </w:tcPr>
          <w:p>
            <w:pPr>
              <w:rPr>
                <w:rFonts w:ascii="宋体" w:hAnsi="宋体"/>
                <w:kern w:val="0"/>
                <w:sz w:val="24"/>
                <w:szCs w:val="24"/>
              </w:rPr>
            </w:pPr>
          </w:p>
        </w:tc>
        <w:tc>
          <w:tcPr>
            <w:tcW w:w="1559" w:type="dxa"/>
            <w:vAlign w:val="center"/>
          </w:tcPr>
          <w:p>
            <w:pPr>
              <w:rPr>
                <w:rFonts w:ascii="宋体" w:hAnsi="宋体"/>
                <w:kern w:val="0"/>
                <w:sz w:val="24"/>
                <w:szCs w:val="24"/>
              </w:rPr>
            </w:pPr>
            <w:r>
              <w:rPr>
                <w:rFonts w:hint="eastAsia" w:ascii="宋体" w:hAnsi="宋体"/>
                <w:kern w:val="0"/>
                <w:sz w:val="24"/>
                <w:szCs w:val="24"/>
              </w:rPr>
              <w:t>获取钢筋定位框</w:t>
            </w:r>
          </w:p>
        </w:tc>
        <w:tc>
          <w:tcPr>
            <w:tcW w:w="4678" w:type="dxa"/>
            <w:vAlign w:val="center"/>
          </w:tcPr>
          <w:p>
            <w:pPr>
              <w:rPr>
                <w:rFonts w:ascii="宋体" w:hAnsi="宋体"/>
                <w:kern w:val="0"/>
                <w:sz w:val="24"/>
                <w:szCs w:val="24"/>
              </w:rPr>
            </w:pPr>
            <w:r>
              <w:rPr>
                <w:rFonts w:hint="eastAsia" w:ascii="宋体" w:hAnsi="宋体"/>
                <w:kern w:val="0"/>
                <w:sz w:val="24"/>
                <w:szCs w:val="24"/>
              </w:rPr>
              <w:t>工具选取正确得0.5分，错误不能进行下一步，累计3次自动进入下一步，扣0.5分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242" w:type="dxa"/>
            <w:vAlign w:val="center"/>
          </w:tcPr>
          <w:p>
            <w:pPr>
              <w:rPr>
                <w:rFonts w:ascii="宋体" w:hAnsi="宋体"/>
                <w:kern w:val="0"/>
                <w:sz w:val="24"/>
                <w:szCs w:val="24"/>
              </w:rPr>
            </w:pPr>
            <w:r>
              <w:rPr>
                <w:rFonts w:hint="eastAsia" w:ascii="宋体" w:hAnsi="宋体"/>
                <w:kern w:val="0"/>
                <w:sz w:val="24"/>
                <w:szCs w:val="24"/>
              </w:rPr>
              <w:t>5.垫片找平</w:t>
            </w:r>
          </w:p>
        </w:tc>
        <w:tc>
          <w:tcPr>
            <w:tcW w:w="1418" w:type="dxa"/>
            <w:vAlign w:val="center"/>
          </w:tcPr>
          <w:p>
            <w:pPr>
              <w:rPr>
                <w:rFonts w:ascii="宋体" w:hAnsi="宋体"/>
                <w:kern w:val="0"/>
                <w:sz w:val="24"/>
                <w:szCs w:val="24"/>
              </w:rPr>
            </w:pPr>
          </w:p>
        </w:tc>
        <w:tc>
          <w:tcPr>
            <w:tcW w:w="1559" w:type="dxa"/>
            <w:vAlign w:val="center"/>
          </w:tcPr>
          <w:p>
            <w:pPr>
              <w:rPr>
                <w:rFonts w:ascii="宋体" w:hAnsi="宋体"/>
                <w:kern w:val="0"/>
                <w:sz w:val="24"/>
                <w:szCs w:val="24"/>
              </w:rPr>
            </w:pPr>
            <w:r>
              <w:rPr>
                <w:rFonts w:hint="eastAsia" w:ascii="宋体" w:hAnsi="宋体"/>
                <w:kern w:val="0"/>
                <w:sz w:val="24"/>
                <w:szCs w:val="24"/>
              </w:rPr>
              <w:t>获取水准仪</w:t>
            </w:r>
          </w:p>
        </w:tc>
        <w:tc>
          <w:tcPr>
            <w:tcW w:w="4678" w:type="dxa"/>
            <w:vAlign w:val="center"/>
          </w:tcPr>
          <w:p>
            <w:pPr>
              <w:rPr>
                <w:rFonts w:ascii="宋体" w:hAnsi="宋体"/>
                <w:kern w:val="0"/>
                <w:sz w:val="24"/>
                <w:szCs w:val="24"/>
              </w:rPr>
            </w:pPr>
            <w:r>
              <w:rPr>
                <w:rFonts w:hint="eastAsia" w:ascii="宋体" w:hAnsi="宋体"/>
                <w:kern w:val="0"/>
                <w:sz w:val="24"/>
                <w:szCs w:val="24"/>
              </w:rPr>
              <w:t>工具选取正确得0.5分，错误不能进行下一步，累计3次自动进入下一步，扣0.5分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242" w:type="dxa"/>
            <w:vAlign w:val="center"/>
          </w:tcPr>
          <w:p>
            <w:pPr>
              <w:rPr>
                <w:rFonts w:ascii="宋体" w:hAnsi="宋体"/>
                <w:kern w:val="0"/>
                <w:sz w:val="24"/>
                <w:szCs w:val="24"/>
              </w:rPr>
            </w:pPr>
            <w:r>
              <w:rPr>
                <w:rFonts w:hint="eastAsia" w:ascii="宋体" w:hAnsi="宋体"/>
                <w:kern w:val="0"/>
                <w:sz w:val="24"/>
                <w:szCs w:val="24"/>
              </w:rPr>
              <w:t>6.粘贴防水密封材料</w:t>
            </w:r>
          </w:p>
        </w:tc>
        <w:tc>
          <w:tcPr>
            <w:tcW w:w="1418" w:type="dxa"/>
            <w:vAlign w:val="center"/>
          </w:tcPr>
          <w:p>
            <w:pPr>
              <w:rPr>
                <w:rFonts w:ascii="宋体" w:hAnsi="宋体"/>
                <w:kern w:val="0"/>
                <w:sz w:val="24"/>
                <w:szCs w:val="24"/>
              </w:rPr>
            </w:pPr>
          </w:p>
        </w:tc>
        <w:tc>
          <w:tcPr>
            <w:tcW w:w="1559" w:type="dxa"/>
            <w:vAlign w:val="center"/>
          </w:tcPr>
          <w:p>
            <w:pPr>
              <w:rPr>
                <w:rFonts w:ascii="宋体" w:hAnsi="宋体"/>
                <w:kern w:val="0"/>
                <w:sz w:val="24"/>
                <w:szCs w:val="24"/>
              </w:rPr>
            </w:pPr>
            <w:r>
              <w:rPr>
                <w:rFonts w:hint="eastAsia" w:ascii="宋体" w:hAnsi="宋体"/>
                <w:kern w:val="0"/>
                <w:sz w:val="24"/>
                <w:szCs w:val="24"/>
              </w:rPr>
              <w:t>获取防水密封材料</w:t>
            </w:r>
          </w:p>
        </w:tc>
        <w:tc>
          <w:tcPr>
            <w:tcW w:w="4678" w:type="dxa"/>
            <w:vAlign w:val="center"/>
          </w:tcPr>
          <w:p>
            <w:pPr>
              <w:rPr>
                <w:rFonts w:ascii="宋体" w:hAnsi="宋体"/>
                <w:kern w:val="0"/>
                <w:sz w:val="24"/>
                <w:szCs w:val="24"/>
              </w:rPr>
            </w:pPr>
            <w:r>
              <w:rPr>
                <w:rFonts w:hint="eastAsia" w:ascii="宋体" w:hAnsi="宋体"/>
                <w:kern w:val="0"/>
                <w:sz w:val="24"/>
                <w:szCs w:val="24"/>
              </w:rPr>
              <w:t>工具选取正确得0.5分，错误不能进行下一步，累计3次自动进入下一步，扣0.5分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242" w:type="dxa"/>
            <w:vAlign w:val="center"/>
          </w:tcPr>
          <w:p>
            <w:pPr>
              <w:rPr>
                <w:rFonts w:ascii="宋体" w:hAnsi="宋体"/>
                <w:kern w:val="0"/>
                <w:sz w:val="24"/>
                <w:szCs w:val="24"/>
              </w:rPr>
            </w:pPr>
            <w:r>
              <w:rPr>
                <w:rFonts w:hint="eastAsia" w:ascii="宋体" w:hAnsi="宋体"/>
                <w:kern w:val="0"/>
                <w:sz w:val="24"/>
                <w:szCs w:val="24"/>
              </w:rPr>
              <w:t>7.墙板吊装</w:t>
            </w:r>
          </w:p>
        </w:tc>
        <w:tc>
          <w:tcPr>
            <w:tcW w:w="1418" w:type="dxa"/>
            <w:vAlign w:val="center"/>
          </w:tcPr>
          <w:p>
            <w:pPr>
              <w:rPr>
                <w:rFonts w:ascii="宋体" w:hAnsi="宋体"/>
                <w:kern w:val="0"/>
                <w:sz w:val="24"/>
                <w:szCs w:val="24"/>
              </w:rPr>
            </w:pPr>
            <w:r>
              <w:rPr>
                <w:rFonts w:hint="eastAsia" w:ascii="宋体" w:hAnsi="宋体"/>
                <w:kern w:val="0"/>
                <w:sz w:val="24"/>
                <w:szCs w:val="24"/>
              </w:rPr>
              <w:t>安装外防护架</w:t>
            </w:r>
          </w:p>
        </w:tc>
        <w:tc>
          <w:tcPr>
            <w:tcW w:w="1559" w:type="dxa"/>
            <w:vAlign w:val="center"/>
          </w:tcPr>
          <w:p>
            <w:pPr>
              <w:rPr>
                <w:rFonts w:ascii="宋体" w:hAnsi="宋体"/>
                <w:kern w:val="0"/>
                <w:sz w:val="24"/>
                <w:szCs w:val="24"/>
              </w:rPr>
            </w:pPr>
            <w:r>
              <w:rPr>
                <w:rFonts w:hint="eastAsia" w:ascii="宋体" w:hAnsi="宋体"/>
                <w:kern w:val="0"/>
                <w:sz w:val="24"/>
                <w:szCs w:val="24"/>
              </w:rPr>
              <w:t>获取外防护架</w:t>
            </w:r>
          </w:p>
        </w:tc>
        <w:tc>
          <w:tcPr>
            <w:tcW w:w="4678" w:type="dxa"/>
            <w:vAlign w:val="center"/>
          </w:tcPr>
          <w:p>
            <w:pPr>
              <w:rPr>
                <w:rFonts w:ascii="宋体" w:hAnsi="宋体"/>
                <w:kern w:val="0"/>
                <w:sz w:val="24"/>
                <w:szCs w:val="24"/>
              </w:rPr>
            </w:pPr>
            <w:r>
              <w:rPr>
                <w:rFonts w:hint="eastAsia" w:ascii="宋体" w:hAnsi="宋体"/>
                <w:kern w:val="0"/>
                <w:sz w:val="24"/>
                <w:szCs w:val="24"/>
              </w:rPr>
              <w:t>工具选取正确得0.5分，错误不能进行下一步，累计3次自动进入下一步，扣0.5分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242" w:type="dxa"/>
            <w:vAlign w:val="center"/>
          </w:tcPr>
          <w:p>
            <w:pPr>
              <w:rPr>
                <w:rFonts w:ascii="宋体" w:hAnsi="宋体"/>
                <w:kern w:val="0"/>
                <w:sz w:val="24"/>
                <w:szCs w:val="24"/>
              </w:rPr>
            </w:pPr>
          </w:p>
        </w:tc>
        <w:tc>
          <w:tcPr>
            <w:tcW w:w="1418" w:type="dxa"/>
            <w:vAlign w:val="center"/>
          </w:tcPr>
          <w:p>
            <w:pPr>
              <w:rPr>
                <w:rFonts w:ascii="宋体" w:hAnsi="宋体"/>
                <w:kern w:val="0"/>
                <w:sz w:val="24"/>
                <w:szCs w:val="24"/>
              </w:rPr>
            </w:pPr>
            <w:r>
              <w:rPr>
                <w:rFonts w:hint="eastAsia" w:ascii="宋体" w:hAnsi="宋体"/>
                <w:kern w:val="0"/>
                <w:sz w:val="24"/>
                <w:szCs w:val="24"/>
              </w:rPr>
              <w:t>外墙吊装</w:t>
            </w:r>
          </w:p>
        </w:tc>
        <w:tc>
          <w:tcPr>
            <w:tcW w:w="1559" w:type="dxa"/>
            <w:vAlign w:val="center"/>
          </w:tcPr>
          <w:p>
            <w:pPr>
              <w:rPr>
                <w:rFonts w:ascii="宋体" w:hAnsi="宋体"/>
                <w:kern w:val="0"/>
                <w:sz w:val="24"/>
                <w:szCs w:val="24"/>
              </w:rPr>
            </w:pPr>
            <w:r>
              <w:rPr>
                <w:rFonts w:hint="eastAsia" w:ascii="宋体" w:hAnsi="宋体"/>
                <w:kern w:val="0"/>
                <w:sz w:val="24"/>
                <w:szCs w:val="24"/>
              </w:rPr>
              <w:t>获取预制外墙</w:t>
            </w:r>
          </w:p>
        </w:tc>
        <w:tc>
          <w:tcPr>
            <w:tcW w:w="4678" w:type="dxa"/>
            <w:vAlign w:val="center"/>
          </w:tcPr>
          <w:p>
            <w:pPr>
              <w:rPr>
                <w:rFonts w:ascii="宋体" w:hAnsi="宋体"/>
                <w:kern w:val="0"/>
                <w:sz w:val="24"/>
                <w:szCs w:val="24"/>
              </w:rPr>
            </w:pPr>
            <w:r>
              <w:rPr>
                <w:rFonts w:hint="eastAsia" w:ascii="宋体" w:hAnsi="宋体"/>
                <w:kern w:val="0"/>
                <w:sz w:val="24"/>
                <w:szCs w:val="24"/>
              </w:rPr>
              <w:t>工具选取正确得0.5分，错误不能进行下一步，累计3次自动进入下一步，扣0.5分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242" w:type="dxa"/>
            <w:vAlign w:val="center"/>
          </w:tcPr>
          <w:p>
            <w:pPr>
              <w:rPr>
                <w:rFonts w:ascii="宋体" w:hAnsi="宋体"/>
                <w:kern w:val="0"/>
                <w:sz w:val="24"/>
                <w:szCs w:val="24"/>
              </w:rPr>
            </w:pPr>
          </w:p>
        </w:tc>
        <w:tc>
          <w:tcPr>
            <w:tcW w:w="1418" w:type="dxa"/>
            <w:vAlign w:val="center"/>
          </w:tcPr>
          <w:p>
            <w:pPr>
              <w:rPr>
                <w:rFonts w:ascii="宋体" w:hAnsi="宋体"/>
                <w:kern w:val="0"/>
                <w:sz w:val="24"/>
                <w:szCs w:val="24"/>
              </w:rPr>
            </w:pPr>
            <w:r>
              <w:rPr>
                <w:rFonts w:hint="eastAsia" w:ascii="宋体" w:hAnsi="宋体"/>
                <w:kern w:val="0"/>
                <w:sz w:val="24"/>
                <w:szCs w:val="24"/>
              </w:rPr>
              <w:t>对准</w:t>
            </w:r>
          </w:p>
        </w:tc>
        <w:tc>
          <w:tcPr>
            <w:tcW w:w="1559" w:type="dxa"/>
            <w:vAlign w:val="center"/>
          </w:tcPr>
          <w:p>
            <w:pPr>
              <w:rPr>
                <w:rFonts w:ascii="宋体" w:hAnsi="宋体"/>
                <w:kern w:val="0"/>
                <w:sz w:val="24"/>
                <w:szCs w:val="24"/>
              </w:rPr>
            </w:pPr>
            <w:r>
              <w:rPr>
                <w:rFonts w:hint="eastAsia" w:ascii="宋体" w:hAnsi="宋体"/>
                <w:kern w:val="0"/>
                <w:sz w:val="24"/>
                <w:szCs w:val="24"/>
              </w:rPr>
              <w:t>获取镜子</w:t>
            </w:r>
          </w:p>
        </w:tc>
        <w:tc>
          <w:tcPr>
            <w:tcW w:w="4678" w:type="dxa"/>
            <w:vAlign w:val="center"/>
          </w:tcPr>
          <w:p>
            <w:pPr>
              <w:rPr>
                <w:rFonts w:ascii="宋体" w:hAnsi="宋体"/>
                <w:kern w:val="0"/>
                <w:sz w:val="24"/>
                <w:szCs w:val="24"/>
              </w:rPr>
            </w:pPr>
            <w:r>
              <w:rPr>
                <w:rFonts w:hint="eastAsia" w:ascii="宋体" w:hAnsi="宋体"/>
                <w:kern w:val="0"/>
                <w:sz w:val="24"/>
                <w:szCs w:val="24"/>
              </w:rPr>
              <w:t>工具选取正确得0.5分，错误不能进行下一步，累计3次自动进入下一步，扣0.5分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242" w:type="dxa"/>
            <w:vAlign w:val="center"/>
          </w:tcPr>
          <w:p>
            <w:pPr>
              <w:rPr>
                <w:rFonts w:ascii="宋体" w:hAnsi="宋体"/>
                <w:kern w:val="0"/>
                <w:sz w:val="24"/>
                <w:szCs w:val="24"/>
              </w:rPr>
            </w:pPr>
            <w:r>
              <w:rPr>
                <w:rFonts w:hint="eastAsia" w:ascii="宋体" w:hAnsi="宋体"/>
                <w:kern w:val="0"/>
                <w:sz w:val="24"/>
                <w:szCs w:val="24"/>
              </w:rPr>
              <w:t>8.安装斜支撑</w:t>
            </w:r>
          </w:p>
        </w:tc>
        <w:tc>
          <w:tcPr>
            <w:tcW w:w="1418" w:type="dxa"/>
            <w:vAlign w:val="center"/>
          </w:tcPr>
          <w:p>
            <w:pPr>
              <w:rPr>
                <w:rFonts w:ascii="宋体" w:hAnsi="宋体"/>
                <w:kern w:val="0"/>
                <w:sz w:val="24"/>
                <w:szCs w:val="24"/>
              </w:rPr>
            </w:pPr>
          </w:p>
        </w:tc>
        <w:tc>
          <w:tcPr>
            <w:tcW w:w="1559" w:type="dxa"/>
            <w:vAlign w:val="center"/>
          </w:tcPr>
          <w:p>
            <w:pPr>
              <w:rPr>
                <w:rFonts w:ascii="宋体" w:hAnsi="宋体"/>
                <w:kern w:val="0"/>
                <w:sz w:val="24"/>
                <w:szCs w:val="24"/>
              </w:rPr>
            </w:pPr>
            <w:r>
              <w:rPr>
                <w:rFonts w:hint="eastAsia" w:ascii="宋体" w:hAnsi="宋体"/>
                <w:kern w:val="0"/>
                <w:sz w:val="24"/>
                <w:szCs w:val="24"/>
              </w:rPr>
              <w:t>获取斜支撑</w:t>
            </w:r>
          </w:p>
        </w:tc>
        <w:tc>
          <w:tcPr>
            <w:tcW w:w="4678" w:type="dxa"/>
            <w:vAlign w:val="center"/>
          </w:tcPr>
          <w:p>
            <w:pPr>
              <w:rPr>
                <w:rFonts w:ascii="宋体" w:hAnsi="宋体"/>
                <w:kern w:val="0"/>
                <w:sz w:val="24"/>
                <w:szCs w:val="24"/>
              </w:rPr>
            </w:pPr>
            <w:r>
              <w:rPr>
                <w:rFonts w:hint="eastAsia" w:ascii="宋体" w:hAnsi="宋体"/>
                <w:kern w:val="0"/>
                <w:sz w:val="24"/>
                <w:szCs w:val="24"/>
              </w:rPr>
              <w:t>工具选取正确得0.5分，错误不能进行下一步，累计3次自动进入下一步，扣0.5分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242" w:type="dxa"/>
            <w:vAlign w:val="center"/>
          </w:tcPr>
          <w:p>
            <w:pPr>
              <w:rPr>
                <w:rFonts w:ascii="宋体" w:hAnsi="宋体"/>
                <w:kern w:val="0"/>
                <w:sz w:val="24"/>
                <w:szCs w:val="24"/>
              </w:rPr>
            </w:pPr>
            <w:r>
              <w:rPr>
                <w:rFonts w:hint="eastAsia" w:ascii="宋体" w:hAnsi="宋体"/>
                <w:kern w:val="0"/>
                <w:sz w:val="24"/>
                <w:szCs w:val="24"/>
              </w:rPr>
              <w:t>9.垂直度校准 </w:t>
            </w:r>
          </w:p>
        </w:tc>
        <w:tc>
          <w:tcPr>
            <w:tcW w:w="1418" w:type="dxa"/>
            <w:vAlign w:val="center"/>
          </w:tcPr>
          <w:p>
            <w:pPr>
              <w:rPr>
                <w:rFonts w:ascii="宋体" w:hAnsi="宋体"/>
                <w:kern w:val="0"/>
                <w:sz w:val="24"/>
                <w:szCs w:val="24"/>
              </w:rPr>
            </w:pPr>
          </w:p>
        </w:tc>
        <w:tc>
          <w:tcPr>
            <w:tcW w:w="1559" w:type="dxa"/>
            <w:vAlign w:val="center"/>
          </w:tcPr>
          <w:p>
            <w:pPr>
              <w:rPr>
                <w:rFonts w:ascii="宋体" w:hAnsi="宋体"/>
                <w:kern w:val="0"/>
                <w:sz w:val="24"/>
                <w:szCs w:val="24"/>
              </w:rPr>
            </w:pPr>
            <w:r>
              <w:rPr>
                <w:rFonts w:hint="eastAsia" w:ascii="宋体" w:hAnsi="宋体"/>
                <w:kern w:val="0"/>
                <w:sz w:val="24"/>
                <w:szCs w:val="24"/>
              </w:rPr>
              <w:t>获取靠尺</w:t>
            </w:r>
          </w:p>
        </w:tc>
        <w:tc>
          <w:tcPr>
            <w:tcW w:w="4678" w:type="dxa"/>
            <w:vAlign w:val="center"/>
          </w:tcPr>
          <w:p>
            <w:pPr>
              <w:rPr>
                <w:rFonts w:ascii="宋体" w:hAnsi="宋体"/>
                <w:kern w:val="0"/>
                <w:sz w:val="24"/>
                <w:szCs w:val="24"/>
              </w:rPr>
            </w:pPr>
            <w:r>
              <w:rPr>
                <w:rFonts w:hint="eastAsia" w:ascii="宋体" w:hAnsi="宋体"/>
                <w:kern w:val="0"/>
                <w:sz w:val="24"/>
                <w:szCs w:val="24"/>
              </w:rPr>
              <w:t>工具选取正确得0.5分，错误不能进行下一步，累计3次自动进入下一步，扣0.5分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242" w:type="dxa"/>
            <w:vAlign w:val="center"/>
          </w:tcPr>
          <w:p>
            <w:pPr>
              <w:rPr>
                <w:rFonts w:ascii="宋体" w:hAnsi="宋体"/>
                <w:kern w:val="0"/>
                <w:sz w:val="24"/>
                <w:szCs w:val="24"/>
              </w:rPr>
            </w:pPr>
            <w:r>
              <w:rPr>
                <w:rFonts w:hint="eastAsia" w:ascii="宋体" w:hAnsi="宋体"/>
                <w:kern w:val="0"/>
                <w:sz w:val="24"/>
                <w:szCs w:val="24"/>
              </w:rPr>
              <w:t>10.灌浆</w:t>
            </w:r>
          </w:p>
        </w:tc>
        <w:tc>
          <w:tcPr>
            <w:tcW w:w="1418" w:type="dxa"/>
            <w:vAlign w:val="center"/>
          </w:tcPr>
          <w:p>
            <w:pPr>
              <w:rPr>
                <w:rFonts w:ascii="宋体" w:hAnsi="宋体"/>
                <w:kern w:val="0"/>
                <w:sz w:val="24"/>
                <w:szCs w:val="24"/>
              </w:rPr>
            </w:pPr>
            <w:r>
              <w:rPr>
                <w:rFonts w:hint="eastAsia" w:ascii="宋体" w:hAnsi="宋体"/>
                <w:kern w:val="0"/>
                <w:sz w:val="24"/>
                <w:szCs w:val="24"/>
              </w:rPr>
              <w:t>塞缝</w:t>
            </w:r>
          </w:p>
        </w:tc>
        <w:tc>
          <w:tcPr>
            <w:tcW w:w="1559" w:type="dxa"/>
            <w:vAlign w:val="center"/>
          </w:tcPr>
          <w:p>
            <w:pPr>
              <w:rPr>
                <w:rFonts w:ascii="宋体" w:hAnsi="宋体"/>
                <w:kern w:val="0"/>
                <w:sz w:val="24"/>
                <w:szCs w:val="24"/>
              </w:rPr>
            </w:pPr>
            <w:r>
              <w:rPr>
                <w:rFonts w:hint="eastAsia" w:ascii="宋体" w:hAnsi="宋体"/>
                <w:kern w:val="0"/>
                <w:sz w:val="24"/>
                <w:szCs w:val="24"/>
              </w:rPr>
              <w:t>获取砂浆</w:t>
            </w:r>
          </w:p>
        </w:tc>
        <w:tc>
          <w:tcPr>
            <w:tcW w:w="4678" w:type="dxa"/>
            <w:vAlign w:val="center"/>
          </w:tcPr>
          <w:p>
            <w:pPr>
              <w:rPr>
                <w:rFonts w:ascii="宋体" w:hAnsi="宋体"/>
                <w:kern w:val="0"/>
                <w:sz w:val="24"/>
                <w:szCs w:val="24"/>
              </w:rPr>
            </w:pPr>
            <w:r>
              <w:rPr>
                <w:rFonts w:hint="eastAsia" w:ascii="宋体" w:hAnsi="宋体"/>
                <w:kern w:val="0"/>
                <w:sz w:val="24"/>
                <w:szCs w:val="24"/>
              </w:rPr>
              <w:t>工具选取正确得0.5分，错误不能进行下一步，累计3次自动进入下一步，扣0.5分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242" w:type="dxa"/>
            <w:vAlign w:val="center"/>
          </w:tcPr>
          <w:p>
            <w:pPr>
              <w:rPr>
                <w:rFonts w:ascii="宋体" w:hAnsi="宋体"/>
                <w:kern w:val="0"/>
                <w:sz w:val="24"/>
                <w:szCs w:val="24"/>
              </w:rPr>
            </w:pPr>
          </w:p>
        </w:tc>
        <w:tc>
          <w:tcPr>
            <w:tcW w:w="1418" w:type="dxa"/>
            <w:vAlign w:val="center"/>
          </w:tcPr>
          <w:p>
            <w:pPr>
              <w:rPr>
                <w:rFonts w:ascii="宋体" w:hAnsi="宋体"/>
                <w:kern w:val="0"/>
                <w:sz w:val="24"/>
                <w:szCs w:val="24"/>
              </w:rPr>
            </w:pPr>
            <w:r>
              <w:rPr>
                <w:rFonts w:hint="eastAsia" w:ascii="宋体" w:hAnsi="宋体"/>
                <w:kern w:val="0"/>
                <w:sz w:val="24"/>
                <w:szCs w:val="24"/>
              </w:rPr>
              <w:t>灌浆</w:t>
            </w:r>
          </w:p>
        </w:tc>
        <w:tc>
          <w:tcPr>
            <w:tcW w:w="1559" w:type="dxa"/>
            <w:vAlign w:val="center"/>
          </w:tcPr>
          <w:p>
            <w:pPr>
              <w:rPr>
                <w:rFonts w:ascii="宋体" w:hAnsi="宋体"/>
                <w:kern w:val="0"/>
                <w:sz w:val="24"/>
                <w:szCs w:val="24"/>
              </w:rPr>
            </w:pPr>
            <w:r>
              <w:rPr>
                <w:rFonts w:hint="eastAsia" w:ascii="宋体" w:hAnsi="宋体"/>
                <w:kern w:val="0"/>
                <w:sz w:val="24"/>
                <w:szCs w:val="24"/>
              </w:rPr>
              <w:t>点击工具箱获取灌浆机</w:t>
            </w:r>
          </w:p>
        </w:tc>
        <w:tc>
          <w:tcPr>
            <w:tcW w:w="4678" w:type="dxa"/>
            <w:vAlign w:val="center"/>
          </w:tcPr>
          <w:p>
            <w:pPr>
              <w:rPr>
                <w:rFonts w:ascii="宋体" w:hAnsi="宋体"/>
                <w:kern w:val="0"/>
                <w:sz w:val="24"/>
                <w:szCs w:val="24"/>
              </w:rPr>
            </w:pPr>
            <w:r>
              <w:rPr>
                <w:rFonts w:hint="eastAsia" w:ascii="宋体" w:hAnsi="宋体"/>
                <w:kern w:val="0"/>
                <w:sz w:val="24"/>
                <w:szCs w:val="24"/>
              </w:rPr>
              <w:t>工具选取正确得0.5分，错误不能进行下一步，累计3次自动进入下一步，扣0.5分</w:t>
            </w:r>
          </w:p>
        </w:tc>
      </w:tr>
    </w:tbl>
    <w:p>
      <w:pPr>
        <w:rPr>
          <w:rFonts w:ascii="仿宋" w:hAnsi="仿宋" w:eastAsia="仿宋" w:cs="仿宋"/>
          <w:sz w:val="30"/>
          <w:szCs w:val="30"/>
        </w:rPr>
      </w:pPr>
    </w:p>
    <w:p>
      <w:pPr>
        <w:widowControl/>
        <w:jc w:val="left"/>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0573166"/>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8F1B9"/>
    <w:multiLevelType w:val="singleLevel"/>
    <w:tmpl w:val="BC98F1B9"/>
    <w:lvl w:ilvl="0" w:tentative="0">
      <w:start w:val="1"/>
      <w:numFmt w:val="decimal"/>
      <w:lvlText w:val="%1"/>
      <w:lvlJc w:val="left"/>
    </w:lvl>
  </w:abstractNum>
  <w:abstractNum w:abstractNumId="1">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0DE636"/>
    <w:multiLevelType w:val="singleLevel"/>
    <w:tmpl w:val="370DE636"/>
    <w:lvl w:ilvl="0" w:tentative="0">
      <w:start w:val="1"/>
      <w:numFmt w:val="chineseCounting"/>
      <w:suff w:val="nothing"/>
      <w:lvlText w:val="（%1）"/>
      <w:lvlJc w:val="left"/>
      <w:rPr>
        <w:rFonts w:hint="eastAsia"/>
      </w:rPr>
    </w:lvl>
  </w:abstractNum>
  <w:abstractNum w:abstractNumId="3">
    <w:nsid w:val="4CAF226A"/>
    <w:multiLevelType w:val="multilevel"/>
    <w:tmpl w:val="4CAF226A"/>
    <w:lvl w:ilvl="0" w:tentative="0">
      <w:start w:val="1"/>
      <w:numFmt w:val="decimal"/>
      <w:suff w:val="space"/>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A111B6"/>
    <w:multiLevelType w:val="multilevel"/>
    <w:tmpl w:val="4FA111B6"/>
    <w:lvl w:ilvl="0" w:tentative="0">
      <w:start w:val="1"/>
      <w:numFmt w:val="chineseCountingThousand"/>
      <w:lvlText w:val="(%1)"/>
      <w:lvlJc w:val="left"/>
      <w:pPr>
        <w:ind w:left="987" w:hanging="420"/>
      </w:pPr>
    </w:lvl>
    <w:lvl w:ilvl="1" w:tentative="0">
      <w:start w:val="7"/>
      <w:numFmt w:val="japaneseCounting"/>
      <w:lvlText w:val="%2、"/>
      <w:lvlJc w:val="left"/>
      <w:pPr>
        <w:ind w:left="1707" w:hanging="720"/>
      </w:pPr>
      <w:rPr>
        <w:rFonts w:hint="default"/>
      </w:r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2F5"/>
    <w:rsid w:val="0000189C"/>
    <w:rsid w:val="00083C3E"/>
    <w:rsid w:val="000C1EAC"/>
    <w:rsid w:val="000C2675"/>
    <w:rsid w:val="000E502E"/>
    <w:rsid w:val="00122285"/>
    <w:rsid w:val="0013322B"/>
    <w:rsid w:val="00146649"/>
    <w:rsid w:val="001715C3"/>
    <w:rsid w:val="001B4DD8"/>
    <w:rsid w:val="001E2CA4"/>
    <w:rsid w:val="002706D8"/>
    <w:rsid w:val="00276A7E"/>
    <w:rsid w:val="00315EBE"/>
    <w:rsid w:val="00327750"/>
    <w:rsid w:val="0034347B"/>
    <w:rsid w:val="00364CCF"/>
    <w:rsid w:val="003672BA"/>
    <w:rsid w:val="00377AD4"/>
    <w:rsid w:val="00386418"/>
    <w:rsid w:val="003902D8"/>
    <w:rsid w:val="003F548C"/>
    <w:rsid w:val="0040393C"/>
    <w:rsid w:val="00423E87"/>
    <w:rsid w:val="00442D67"/>
    <w:rsid w:val="004802F5"/>
    <w:rsid w:val="00485741"/>
    <w:rsid w:val="004B3130"/>
    <w:rsid w:val="004B7FF9"/>
    <w:rsid w:val="004D79E9"/>
    <w:rsid w:val="004E3A18"/>
    <w:rsid w:val="00510D7A"/>
    <w:rsid w:val="00563635"/>
    <w:rsid w:val="005770EB"/>
    <w:rsid w:val="005B09D9"/>
    <w:rsid w:val="005F30A3"/>
    <w:rsid w:val="00652D8F"/>
    <w:rsid w:val="00674297"/>
    <w:rsid w:val="006C1A82"/>
    <w:rsid w:val="006D2DCC"/>
    <w:rsid w:val="007011B5"/>
    <w:rsid w:val="007022FF"/>
    <w:rsid w:val="007A2D2F"/>
    <w:rsid w:val="007B0EF0"/>
    <w:rsid w:val="007B7D85"/>
    <w:rsid w:val="007E2493"/>
    <w:rsid w:val="00807B27"/>
    <w:rsid w:val="00827F6D"/>
    <w:rsid w:val="00852852"/>
    <w:rsid w:val="008F6AC4"/>
    <w:rsid w:val="00982D7E"/>
    <w:rsid w:val="00A45104"/>
    <w:rsid w:val="00AA4269"/>
    <w:rsid w:val="00AB31E2"/>
    <w:rsid w:val="00AC5A7A"/>
    <w:rsid w:val="00B17429"/>
    <w:rsid w:val="00B66BF3"/>
    <w:rsid w:val="00B826D6"/>
    <w:rsid w:val="00B846F1"/>
    <w:rsid w:val="00BB1E09"/>
    <w:rsid w:val="00BE5616"/>
    <w:rsid w:val="00C01450"/>
    <w:rsid w:val="00C21A55"/>
    <w:rsid w:val="00C257AA"/>
    <w:rsid w:val="00C64DAE"/>
    <w:rsid w:val="00C8486F"/>
    <w:rsid w:val="00C942C8"/>
    <w:rsid w:val="00CA7DA1"/>
    <w:rsid w:val="00CE540D"/>
    <w:rsid w:val="00D222A0"/>
    <w:rsid w:val="00D30145"/>
    <w:rsid w:val="00D56BC5"/>
    <w:rsid w:val="00D80B14"/>
    <w:rsid w:val="00E31087"/>
    <w:rsid w:val="00E56BFA"/>
    <w:rsid w:val="00EB6912"/>
    <w:rsid w:val="00F138DE"/>
    <w:rsid w:val="00F32BFC"/>
    <w:rsid w:val="00F345A6"/>
    <w:rsid w:val="00FC13BA"/>
    <w:rsid w:val="00FE4083"/>
    <w:rsid w:val="1EC51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3"/>
    <w:next w:val="1"/>
    <w:link w:val="12"/>
    <w:qFormat/>
    <w:uiPriority w:val="99"/>
    <w:pPr>
      <w:keepNext w:val="0"/>
      <w:keepLines w:val="0"/>
      <w:adjustRightInd w:val="0"/>
      <w:snapToGrid w:val="0"/>
      <w:spacing w:beforeLines="50" w:after="0" w:line="360" w:lineRule="auto"/>
      <w:jc w:val="left"/>
      <w:outlineLvl w:val="0"/>
    </w:pPr>
    <w:rPr>
      <w:rFonts w:ascii="仿宋" w:hAnsi="仿宋" w:eastAsia="仿宋" w:cs="仿宋"/>
      <w:kern w:val="0"/>
      <w:sz w:val="30"/>
      <w:szCs w:val="30"/>
    </w:rPr>
  </w:style>
  <w:style w:type="paragraph" w:styleId="3">
    <w:name w:val="heading 3"/>
    <w:basedOn w:val="1"/>
    <w:next w:val="1"/>
    <w:link w:val="13"/>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 w:type="character" w:customStyle="1" w:styleId="12">
    <w:name w:val="标题 1 Char"/>
    <w:basedOn w:val="7"/>
    <w:link w:val="2"/>
    <w:uiPriority w:val="99"/>
    <w:rPr>
      <w:rFonts w:ascii="仿宋" w:hAnsi="仿宋" w:eastAsia="仿宋" w:cs="仿宋"/>
      <w:b/>
      <w:bCs/>
      <w:kern w:val="0"/>
      <w:sz w:val="30"/>
      <w:szCs w:val="30"/>
    </w:rPr>
  </w:style>
  <w:style w:type="character" w:customStyle="1" w:styleId="13">
    <w:name w:val="标题 3 Char"/>
    <w:basedOn w:val="7"/>
    <w:link w:val="3"/>
    <w:semiHidden/>
    <w:uiPriority w:val="9"/>
    <w:rPr>
      <w:rFonts w:ascii="Calibri" w:hAnsi="Calibri" w:eastAsia="宋体" w:cs="Calibri"/>
      <w:b/>
      <w:bCs/>
      <w:sz w:val="32"/>
      <w:szCs w:val="32"/>
    </w:rPr>
  </w:style>
  <w:style w:type="paragraph" w:customStyle="1" w:styleId="14">
    <w:name w:val="1.1.1.1"/>
    <w:qFormat/>
    <w:uiPriority w:val="0"/>
    <w:pPr>
      <w:spacing w:before="120" w:after="120"/>
      <w:jc w:val="both"/>
    </w:pPr>
    <w:rPr>
      <w:rFonts w:ascii="Arial" w:hAnsi="Arial" w:eastAsia="宋体" w:cs="Times New Roman"/>
      <w:kern w:val="0"/>
      <w:sz w:val="24"/>
      <w:szCs w:val="20"/>
      <w:lang w:val="en-US" w:eastAsia="zh-CN" w:bidi="ar-SA"/>
    </w:rPr>
  </w:style>
  <w:style w:type="paragraph" w:styleId="15">
    <w:name w:val="List Paragraph"/>
    <w:basedOn w:val="1"/>
    <w:qFormat/>
    <w:uiPriority w:val="99"/>
    <w:pPr>
      <w:ind w:firstLine="420" w:firstLineChars="200"/>
    </w:pPr>
  </w:style>
  <w:style w:type="paragraph" w:customStyle="1" w:styleId="16">
    <w:name w:val="列出段落1"/>
    <w:basedOn w:val="1"/>
    <w:qFormat/>
    <w:uiPriority w:val="0"/>
    <w:pPr>
      <w:ind w:firstLine="420" w:firstLineChars="200"/>
    </w:pPr>
    <w:rPr>
      <w:rFonts w:asciiTheme="minorHAnsi" w:hAnsiTheme="minorHAnsi" w:eastAsiaTheme="minorEastAsia" w:cstheme="minorBidi"/>
      <w:szCs w:val="22"/>
    </w:rPr>
  </w:style>
  <w:style w:type="paragraph" w:customStyle="1" w:styleId="17">
    <w:name w:val="_Style 1"/>
    <w:basedOn w:val="1"/>
    <w:qFormat/>
    <w:uiPriority w:val="34"/>
    <w:pPr>
      <w:ind w:firstLine="420" w:firstLineChars="200"/>
    </w:pPr>
    <w:rPr>
      <w:rFonts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osowin.com</Company>
  <Pages>40</Pages>
  <Words>3068</Words>
  <Characters>17491</Characters>
  <Lines>145</Lines>
  <Paragraphs>41</Paragraphs>
  <TotalTime>0</TotalTime>
  <ScaleCrop>false</ScaleCrop>
  <LinksUpToDate>false</LinksUpToDate>
  <CharactersWithSpaces>20518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2018-10-26T04:01:00Z</dcterms:created>
  <dc:creator>osowin</dc:creator>
  <cp:lastModifiedBy>丁樂</cp:lastModifiedBy>
  <dcterms:modified xsi:type="dcterms:W3CDTF">2018-10-26T07:40:33Z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